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Incident Response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DECISION_NEEDED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CTO must investigate incidents within 48 hours</w:t>
      </w:r>
    </w:p>
    <w:p>
      <w:pPr>
        <w:pStyle w:val="ListParagraph"/>
        <w:numPr>
          <w:ilvl w:val="0"/>
          <w:numId w:val="2"/>
        </w:numPr>
        <w:spacing w:before="40" w:after="40"/>
      </w:pPr>
      <w:r>
        <w:rPr>
          <w:rFonts w:ascii="Arial" w:cs="Arial" w:eastAsia="Arial" w:hAnsi="Arial"/>
          <w:sz w:val="22"/>
          <w:szCs w:val="22"/>
        </w:rPr>
        <w:t xml:space="preserve">Vulnerabilities must be remediated by severity timeframe (Critical: 24-72 hours)</w:t>
      </w:r>
    </w:p>
    <w:p>
      <w:pPr>
        <w:pStyle w:val="ListParagraph"/>
        <w:numPr>
          <w:ilvl w:val="0"/>
          <w:numId w:val="2"/>
        </w:numPr>
        <w:spacing w:before="40" w:after="40"/>
      </w:pPr>
      <w:r>
        <w:rPr>
          <w:rFonts w:ascii="Arial" w:cs="Arial" w:eastAsia="Arial" w:hAnsi="Arial"/>
          <w:sz w:val="22"/>
          <w:szCs w:val="22"/>
        </w:rPr>
        <w:t xml:space="preserve">Incident response procedures must be tested annually</w:t>
      </w:r>
    </w:p>
    <w:p>
      <w:pPr>
        <w:pStyle w:val="ListParagraph"/>
        <w:numPr>
          <w:ilvl w:val="0"/>
          <w:numId w:val="2"/>
        </w:numPr>
        <w:spacing w:before="40" w:after="40"/>
      </w:pPr>
      <w:r>
        <w:rPr>
          <w:rFonts w:ascii="Arial" w:cs="Arial" w:eastAsia="Arial" w:hAnsi="Arial"/>
          <w:sz w:val="22"/>
          <w:szCs w:val="22"/>
        </w:rPr>
        <w:t xml:space="preserve">Offshore devs (4 people via agency) need incident reporting process clarity</w:t>
      </w:r>
    </w:p>
    <w:p>
      <w:pPr>
        <w:pStyle w:val="ListParagraph"/>
        <w:numPr>
          <w:ilvl w:val="0"/>
          <w:numId w:val="2"/>
        </w:numPr>
        <w:spacing w:before="40" w:after="40"/>
      </w:pPr>
      <w:r>
        <w:rPr>
          <w:rFonts w:ascii="Arial" w:cs="Arial" w:eastAsia="Arial" w:hAnsi="Arial"/>
          <w:sz w:val="22"/>
          <w:szCs w:val="22"/>
        </w:rPr>
        <w:t xml:space="preserve">No CISO or Security team - CTO alone responsible for investigation</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Primary incident investigator and remediation lead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Chief Architect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Escalation contact when CTO unavailable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CSO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Second escalation contact (not defined in org)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Third escalation contact and communications coordinator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Final escalation contact and external authority decision maker</w:t>
            </w:r>
          </w:p>
        </w:tc>
      </w:tr>
    </w:tbl>
    <w:p>
      <w:r>
        <w:br w:type="page"/>
      </w:r>
    </w:p>
    <w:p>
      <w:pPr>
        <w:pStyle w:val="Heading1"/>
        <w:spacing w:before="0" w:after="200"/>
      </w:pPr>
      <w:r>
        <w:rPr>
          <w:rFonts w:ascii="Arial" w:cs="Arial" w:eastAsia="Arial" w:hAnsi="Arial"/>
          <w:b/>
          <w:bCs/>
          <w:sz w:val="32"/>
          <w:szCs w:val="32"/>
        </w:rPr>
        <w:t xml:space="preserve">Incident Response Policy</w:t>
      </w: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This security incident response policy is intended to establish controls to ensure that a formal incident management process has been established and implemented which requires incidents to be tracked, documented and resolved in a complete, accurate and timely manner to detect security vulnerabilities and incidents, as well as quick reaction and response to security breaches.</w:t>
      </w:r>
    </w:p>
    <w:p>
      <w:pPr>
        <w:spacing w:before="60" w:after="60"/>
      </w:pPr>
    </w:p>
    <w:p>
      <w:pPr>
        <w:spacing w:before="60" w:after="60"/>
      </w:pPr>
      <w:commentRangeStart w:id="3"/>
      <w:r>
        <w:rPr>
          <w:rFonts w:ascii="Arial" w:cs="Arial" w:eastAsia="Arial" w:hAnsi="Arial"/>
          <w:sz w:val="22"/>
          <w:szCs w:val="22"/>
        </w:rPr>
        <w:t xml:space="preserve">This document also provides implementing instructions for security incident response, including definitions, procedures, responsibilities, and performance measures (metrics and reporting mechanisms). The process document must be reviewed by management on an annual basis and updated as required.</w:t>
      </w:r>
      <w:commentRangeEnd w:id="3"/>
      <w:r>
        <w:rPr>
          <w:rStyle w:val="CommentReference"/>
        </w:rPr>
        <w:commentReference w:id="3"/>
      </w: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policy applies to all users of information systems within the organization. This typically includes employees and contractors, as well as any external parties that come into contact with systems and information controlled by the organization (hereinafter referred to as "users"). This policy must be made readily available to all users.</w:t>
      </w:r>
    </w:p>
    <w:p>
      <w:pPr>
        <w:spacing w:before="60" w:after="60"/>
      </w:pPr>
    </w:p>
    <w:p>
      <w:pPr>
        <w:pStyle w:val="Heading2"/>
        <w:spacing w:before="200" w:after="100"/>
      </w:pPr>
      <w:r>
        <w:rPr>
          <w:rFonts w:ascii="Arial" w:cs="Arial" w:eastAsia="Arial" w:hAnsi="Arial"/>
          <w:b/>
          <w:bCs/>
          <w:sz w:val="24"/>
          <w:szCs w:val="24"/>
        </w:rPr>
        <w:t xml:space="preserve">Overview</w:t>
      </w:r>
    </w:p>
    <w:p>
      <w:pPr>
        <w:spacing w:before="60" w:after="60"/>
      </w:pPr>
    </w:p>
    <w:p>
      <w:pPr>
        <w:spacing w:before="60" w:after="60"/>
      </w:pPr>
      <w:r>
        <w:rPr>
          <w:rFonts w:ascii="Arial" w:cs="Arial" w:eastAsia="Arial" w:hAnsi="Arial"/>
          <w:sz w:val="22"/>
          <w:szCs w:val="22"/>
        </w:rPr>
        <w:t xml:space="preserve">A key objective of the organization's Information Security Management Team is to focus on detecting information security weaknesses and vulnerabilities so that incidents and breaches can be prevented wherever possible. The organization is committed to protecting its employees, customers, and partners from illegal or damaging actions taken by others, either knowingly or unknowingly. Despite this, incidents and data breaches are likely to happen; when they do, the organization is committed to rapidly responding to them, which may include identifying, containing, investigating, resolving, and communicating information related to the breach.</w:t>
      </w:r>
    </w:p>
    <w:p>
      <w:pPr>
        <w:spacing w:before="60" w:after="60"/>
      </w:pPr>
    </w:p>
    <w:p>
      <w:pPr>
        <w:spacing w:before="60" w:after="60"/>
      </w:pPr>
      <w:r>
        <w:rPr>
          <w:rFonts w:ascii="Arial" w:cs="Arial" w:eastAsia="Arial" w:hAnsi="Arial"/>
          <w:sz w:val="22"/>
          <w:szCs w:val="22"/>
        </w:rPr>
        <w:t xml:space="preserve">This policy requires that all users report any perceived or actual information security vulnerability or incident as soon as possible using the contact mechanisms prescribed in this document. Also, the organization must employ automated scanning and reporting mechanisms that can be used to identify possible information security vulnerabilities and incidents. If a vulnerability is identified, it must be resolved within a set period based on its severity. If an incident is identified, it must be investigated within a set period based on its severity. If an incident is confirmed as a breach, a set procedure must be followed to contain, investigate, resolve, and communicate information to employees, customers, partners, and other stakeholders.</w:t>
      </w:r>
    </w:p>
    <w:p>
      <w:pPr>
        <w:spacing w:before="60" w:after="60"/>
      </w:pPr>
    </w:p>
    <w:p>
      <w:pPr>
        <w:spacing w:before="60" w:after="60"/>
      </w:pPr>
      <w:r>
        <w:rPr>
          <w:rFonts w:ascii="Arial" w:cs="Arial" w:eastAsia="Arial" w:hAnsi="Arial"/>
          <w:sz w:val="22"/>
          <w:szCs w:val="22"/>
        </w:rPr>
        <w:t xml:space="preserve">Within this document, the following definitions apply:</w:t>
      </w:r>
    </w:p>
    <w:p>
      <w:pPr>
        <w:spacing w:before="60" w:after="60"/>
      </w:pPr>
    </w:p>
    <w:p>
      <w:pPr>
        <w:spacing w:before="60" w:after="60"/>
      </w:pPr>
      <w:r>
        <w:rPr>
          <w:rFonts w:ascii="Arial" w:cs="Arial" w:eastAsia="Arial" w:hAnsi="Arial"/>
          <w:sz w:val="22"/>
          <w:szCs w:val="22"/>
        </w:rPr>
        <w:t xml:space="preserve">Information Security Vulnerability: a vulnerability in an information system, information system security procedures, or administrative controls that could be exploited to gain unauthorized access to information or to disrupt critical processing.</w:t>
      </w:r>
    </w:p>
    <w:p>
      <w:pPr>
        <w:spacing w:before="60" w:after="60"/>
      </w:pPr>
    </w:p>
    <w:p>
      <w:pPr>
        <w:spacing w:before="60" w:after="60"/>
      </w:pPr>
      <w:r>
        <w:rPr>
          <w:rFonts w:ascii="Arial" w:cs="Arial" w:eastAsia="Arial" w:hAnsi="Arial"/>
          <w:sz w:val="22"/>
          <w:szCs w:val="22"/>
        </w:rPr>
        <w:t xml:space="preserve">Information Security Incident: a suspected, attempted, successful, or imminent threat of unauthorized access, use, disclosure, breach, modification, or destruction of information; interference with information technology operations; or significant violation of information security policy.</w:t>
      </w:r>
    </w:p>
    <w:p>
      <w:pPr>
        <w:spacing w:before="60" w:after="60"/>
      </w:pPr>
    </w:p>
    <w:p>
      <w:pPr>
        <w:pStyle w:val="Heading2"/>
        <w:spacing w:before="200" w:after="100"/>
      </w:pPr>
      <w:r>
        <w:rPr>
          <w:rFonts w:ascii="Arial" w:cs="Arial" w:eastAsia="Arial" w:hAnsi="Arial"/>
          <w:b/>
          <w:bCs/>
          <w:sz w:val="24"/>
          <w:szCs w:val="24"/>
        </w:rPr>
        <w:t xml:space="preserve">Policy</w:t>
      </w:r>
    </w:p>
    <w:p>
      <w:pPr>
        <w:spacing w:before="60" w:after="60"/>
      </w:pPr>
    </w:p>
    <w:p>
      <w:pPr>
        <w:spacing w:before="60" w:after="60"/>
      </w:pPr>
      <w:r>
        <w:rPr>
          <w:rFonts w:ascii="Arial" w:cs="Arial" w:eastAsia="Arial" w:hAnsi="Arial"/>
          <w:sz w:val="22"/>
          <w:szCs w:val="22"/>
        </w:rPr>
        <w:t xml:space="preserve">Incident Escalation Contacts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commentRangeStart w:id="0"/>
      <w:r>
        <w:rPr>
          <w:rFonts w:ascii="Arial" w:cs="Arial" w:eastAsia="Arial" w:hAnsi="Arial"/>
          <w:sz w:val="22"/>
          <w:szCs w:val="22"/>
        </w:rPr>
        <w:t xml:space="preserve">All users must report any system vulnerability, incident, or event pointing to a possible incident to the CTO at the moment that the security problem was discovered. If the CTO is unavailable, the person that discovered the problem should reach out to the following managers in the company until he gets answered, in the following order:</w:t>
      </w:r>
      <w:commentRangeEnd w:id="0"/>
      <w:r>
        <w:rPr>
          <w:rStyle w:val="CommentReference"/>
        </w:rPr>
        <w:commentReference w:id="0"/>
      </w:r>
    </w:p>
    <w:p>
      <w:pPr>
        <w:spacing w:before="60" w:after="60"/>
      </w:pPr>
    </w:p>
    <w:p>
      <w:pPr>
        <w:pStyle w:val="ListParagraph"/>
        <w:numPr>
          <w:ilvl w:val="0"/>
          <w:numId w:val="3"/>
        </w:numPr>
        <w:spacing w:before="40" w:after="40"/>
      </w:pPr>
      <w:r>
        <w:rPr>
          <w:rFonts w:ascii="Arial" w:cs="Arial" w:eastAsia="Arial" w:hAnsi="Arial"/>
          <w:sz w:val="22"/>
          <w:szCs w:val="22"/>
        </w:rPr>
        <w:t xml:space="preserve">Chief Architect</w:t>
      </w:r>
    </w:p>
    <w:p>
      <w:pPr>
        <w:pStyle w:val="ListParagraph"/>
        <w:numPr>
          <w:ilvl w:val="0"/>
          <w:numId w:val="3"/>
        </w:numPr>
        <w:spacing w:before="40" w:after="40"/>
      </w:pPr>
      <w:r>
        <w:rPr>
          <w:rFonts w:ascii="Arial" w:cs="Arial" w:eastAsia="Arial" w:hAnsi="Arial"/>
          <w:sz w:val="22"/>
          <w:szCs w:val="22"/>
        </w:rPr>
        <w:t xml:space="preserve">CSO</w:t>
      </w:r>
    </w:p>
    <w:p>
      <w:pPr>
        <w:pStyle w:val="ListParagraph"/>
        <w:numPr>
          <w:ilvl w:val="0"/>
          <w:numId w:val="3"/>
        </w:numPr>
        <w:spacing w:before="40" w:after="40"/>
      </w:pPr>
      <w:r>
        <w:rPr>
          <w:rFonts w:ascii="Arial" w:cs="Arial" w:eastAsia="Arial" w:hAnsi="Arial"/>
          <w:sz w:val="22"/>
          <w:szCs w:val="22"/>
        </w:rPr>
        <w:t xml:space="preserve">COO</w:t>
      </w:r>
    </w:p>
    <w:p>
      <w:pPr>
        <w:pStyle w:val="ListParagraph"/>
        <w:numPr>
          <w:ilvl w:val="0"/>
          <w:numId w:val="3"/>
        </w:numPr>
        <w:spacing w:before="40" w:after="40"/>
      </w:pPr>
      <w:r>
        <w:rPr>
          <w:rFonts w:ascii="Arial" w:cs="Arial" w:eastAsia="Arial" w:hAnsi="Arial"/>
          <w:sz w:val="22"/>
          <w:szCs w:val="22"/>
        </w:rPr>
        <w:t xml:space="preserve">CEO</w:t>
      </w:r>
    </w:p>
    <w:p>
      <w:pPr>
        <w:spacing w:before="60" w:after="60"/>
      </w:pPr>
    </w:p>
    <w:p>
      <w:pPr>
        <w:spacing w:before="60" w:after="60"/>
      </w:pPr>
      <w:r>
        <w:rPr>
          <w:rFonts w:ascii="Arial" w:cs="Arial" w:eastAsia="Arial" w:hAnsi="Arial"/>
          <w:sz w:val="22"/>
          <w:szCs w:val="22"/>
        </w:rPr>
        <w:t xml:space="preserve">Incidents must be reported by sending an email message with details of the incident, following the notification regarding the problem by a call.</w:t>
      </w:r>
    </w:p>
    <w:p>
      <w:pPr>
        <w:spacing w:before="60" w:after="60"/>
      </w:pPr>
    </w:p>
    <w:p>
      <w:pPr>
        <w:spacing w:before="60" w:after="60"/>
      </w:pPr>
      <w:r>
        <w:rPr>
          <w:rFonts w:ascii="Arial" w:cs="Arial" w:eastAsia="Arial" w:hAnsi="Arial"/>
          <w:sz w:val="22"/>
          <w:szCs w:val="22"/>
        </w:rPr>
        <w:t xml:space="preserve">Disciplinary Action</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commentRangeStart w:id="9"/>
      <w:r>
        <w:rPr>
          <w:rFonts w:ascii="Arial" w:cs="Arial" w:eastAsia="Arial" w:hAnsi="Arial"/>
          <w:sz w:val="22"/>
          <w:szCs w:val="22"/>
        </w:rPr>
        <w:t xml:space="preserve">Users must be trained on the procedures for reporting information security incidents or discovered vulnerabilities, and their responsibilities to report such incidents. Failure to report information security incidents shall be a security violation and will be reported to the CEO for disciplinary action.</w:t>
      </w:r>
      <w:commentRangeEnd w:id="9"/>
      <w:r>
        <w:rPr>
          <w:rStyle w:val="CommentReference"/>
        </w:rPr>
        <w:commentReference w:id="9"/>
      </w:r>
    </w:p>
    <w:p>
      <w:pPr>
        <w:spacing w:before="60" w:after="60"/>
      </w:pPr>
    </w:p>
    <w:p>
      <w:pPr>
        <w:spacing w:before="60" w:after="60"/>
      </w:pPr>
      <w:commentRangeStart w:id="10"/>
      <w:r>
        <w:rPr>
          <w:rFonts w:ascii="Arial" w:cs="Arial" w:eastAsia="Arial" w:hAnsi="Arial"/>
          <w:sz w:val="22"/>
          <w:szCs w:val="22"/>
        </w:rPr>
        <w:t xml:space="preserve">Information and artifacts associated with security incidents (including but not limited to files, logs, and screen captures) must be preserved if they need to be used as evidence of a crime.</w:t>
      </w:r>
      <w:commentRangeEnd w:id="10"/>
      <w:r>
        <w:rPr>
          <w:rStyle w:val="CommentReference"/>
        </w:rPr>
        <w:commentReference w:id="10"/>
      </w:r>
    </w:p>
    <w:p>
      <w:pPr>
        <w:spacing w:before="60" w:after="60"/>
      </w:pPr>
    </w:p>
    <w:p>
      <w:pPr>
        <w:spacing w:before="60" w:after="60"/>
      </w:pPr>
      <w:r>
        <w:rPr>
          <w:rFonts w:ascii="Arial" w:cs="Arial" w:eastAsia="Arial" w:hAnsi="Arial"/>
          <w:sz w:val="22"/>
          <w:szCs w:val="22"/>
        </w:rPr>
        <w:t xml:space="preserve">All information security incidents must be responded to through the incident management procedures defined below which requires incidents to be tracked, documented and resolved in a complete, accurate and timely manner.</w:t>
      </w:r>
    </w:p>
    <w:p>
      <w:pPr>
        <w:spacing w:before="60" w:after="60"/>
      </w:pPr>
    </w:p>
    <w:p>
      <w:pPr>
        <w:spacing w:before="60" w:after="60"/>
      </w:pPr>
      <w:r>
        <w:rPr>
          <w:rFonts w:ascii="Arial" w:cs="Arial" w:eastAsia="Arial" w:hAnsi="Arial"/>
          <w:sz w:val="22"/>
          <w:szCs w:val="22"/>
        </w:rPr>
        <w:t xml:space="preserve">To appropriately plan and prepare for incidents, the organization must review incident response procedures at least once per year for currency and update as required.</w:t>
      </w:r>
    </w:p>
    <w:p>
      <w:pPr>
        <w:spacing w:before="60" w:after="60"/>
      </w:pPr>
    </w:p>
    <w:p>
      <w:pPr>
        <w:spacing w:before="60" w:after="60"/>
      </w:pPr>
      <w:commentRangeStart w:id="4"/>
      <w:r>
        <w:rPr>
          <w:rFonts w:ascii="Arial" w:cs="Arial" w:eastAsia="Arial" w:hAnsi="Arial"/>
          <w:sz w:val="22"/>
          <w:szCs w:val="22"/>
        </w:rPr>
        <w:t xml:space="preserve">The incident response procedure must be tested on at least once per year</w:t>
      </w:r>
      <w:commentRangeEnd w:id="4"/>
      <w:r>
        <w:rPr>
          <w:rStyle w:val="CommentReference"/>
        </w:rPr>
        <w:commentReference w:id="4"/>
      </w:r>
    </w:p>
    <w:p>
      <w:pPr>
        <w:spacing w:before="60" w:after="60"/>
      </w:pPr>
    </w:p>
    <w:p>
      <w:pPr>
        <w:spacing w:before="60" w:after="60"/>
      </w:pPr>
      <w:commentRangeStart w:id="5"/>
      <w:r>
        <w:rPr>
          <w:rFonts w:ascii="Arial" w:cs="Arial" w:eastAsia="Arial" w:hAnsi="Arial"/>
          <w:sz w:val="22"/>
          <w:szCs w:val="22"/>
        </w:rPr>
        <w:t xml:space="preserve">All critical security (including data breaches) incidents are logged and tracked in the ticketing system and communicated to affected parties. Communication is also conducted with senior management for each security incident, to evaluate the root causes, remediation steps, and lessons learned to be able to prevent similar incidents in the future.</w:t>
      </w:r>
      <w:commentRangeEnd w:id="5"/>
      <w:r>
        <w:rPr>
          <w:rStyle w:val="CommentReference"/>
        </w:rPr>
        <w:commentReference w:id="5"/>
      </w:r>
    </w:p>
    <w:p>
      <w:pPr>
        <w:spacing w:before="60" w:after="60"/>
      </w:pPr>
    </w:p>
    <w:p>
      <w:pPr>
        <w:spacing w:before="60" w:after="60"/>
      </w:pPr>
      <w:r>
        <w:rPr>
          <w:rFonts w:ascii="Arial" w:cs="Arial" w:eastAsia="Arial" w:hAnsi="Arial"/>
          <w:sz w:val="22"/>
          <w:szCs w:val="22"/>
        </w:rPr>
        <w:t xml:space="preserve">The engineering department shall evaluate the severity of vulnerabilities, and if it is determined to be a critical or high-risk vulnerability, a service ticket will be created. The PolicyLift's assessed severity level may differ from the level automatically generated by scanning software or determined by external researchers based on PolicyLift internal knowledge and understanding of technical architecture and real-world impact/exploitability. Tickets are assigned to the system, application, or platform owners for further investigation and/or remediation.</w:t>
      </w:r>
    </w:p>
    <w:p>
      <w:pPr>
        <w:spacing w:before="60" w:after="60"/>
      </w:pPr>
    </w:p>
    <w:p>
      <w:pPr>
        <w:spacing w:before="60" w:after="60"/>
      </w:pPr>
      <w:commentRangeStart w:id="2"/>
      <w:r>
        <w:rPr>
          <w:rFonts w:ascii="Arial" w:cs="Arial" w:eastAsia="Arial" w:hAnsi="Arial"/>
          <w:sz w:val="22"/>
          <w:szCs w:val="22"/>
        </w:rPr>
        <w:t xml:space="preserve">Vulnerabilities assessed by PolicyLift shall be remediated in the following timeframes:</w:t>
      </w:r>
      <w:commentRangeEnd w:id="2"/>
      <w:r>
        <w:rPr>
          <w:rStyle w:val="CommentReference"/>
        </w:rPr>
        <w:commentReference w:id="2"/>
      </w:r>
    </w:p>
    <w:p>
      <w:pPr>
        <w:spacing w:before="60" w:after="60"/>
      </w:pPr>
    </w:p>
    <w:p>
      <w:pPr>
        <w:spacing w:before="60" w:after="60"/>
      </w:pPr>
      <w:r>
        <w:rPr>
          <w:rFonts w:ascii="Arial" w:cs="Arial" w:eastAsia="Arial" w:hAnsi="Arial"/>
          <w:sz w:val="22"/>
          <w:szCs w:val="22"/>
        </w:rPr>
        <w:t xml:space="preserve">Determined Severity | Remediation Time</w:t>
      </w:r>
    </w:p>
    <w:p>
      <w:pPr>
        <w:spacing w:before="60" w:after="60"/>
      </w:pPr>
      <w:r>
        <w:rPr>
          <w:rFonts w:ascii="Arial" w:cs="Arial" w:eastAsia="Arial" w:hAnsi="Arial"/>
          <w:sz w:val="22"/>
          <w:szCs w:val="22"/>
        </w:rPr>
        <w:t xml:space="preserve">Critical | 24–72 hours</w:t>
      </w:r>
    </w:p>
    <w:p>
      <w:pPr>
        <w:spacing w:before="60" w:after="60"/>
      </w:pPr>
      <w:r>
        <w:rPr>
          <w:rFonts w:ascii="Arial" w:cs="Arial" w:eastAsia="Arial" w:hAnsi="Arial"/>
          <w:sz w:val="22"/>
          <w:szCs w:val="22"/>
        </w:rPr>
        <w:t xml:space="preserve">High | 7–14 days</w:t>
      </w:r>
    </w:p>
    <w:p>
      <w:pPr>
        <w:spacing w:before="60" w:after="60"/>
      </w:pPr>
      <w:r>
        <w:rPr>
          <w:rFonts w:ascii="Arial" w:cs="Arial" w:eastAsia="Arial" w:hAnsi="Arial"/>
          <w:sz w:val="22"/>
          <w:szCs w:val="22"/>
        </w:rPr>
        <w:t xml:space="preserve">Medium | 30–60 days</w:t>
      </w:r>
    </w:p>
    <w:p>
      <w:pPr>
        <w:spacing w:before="60" w:after="60"/>
      </w:pPr>
      <w:r>
        <w:rPr>
          <w:rFonts w:ascii="Arial" w:cs="Arial" w:eastAsia="Arial" w:hAnsi="Arial"/>
          <w:sz w:val="22"/>
          <w:szCs w:val="22"/>
        </w:rPr>
        <w:t xml:space="preserve">Low | 90 days</w:t>
      </w:r>
    </w:p>
    <w:p>
      <w:pPr>
        <w:spacing w:before="60" w:after="60"/>
      </w:pPr>
    </w:p>
    <w:p>
      <w:pPr>
        <w:pStyle w:val="Heading2"/>
        <w:spacing w:before="200" w:after="100"/>
      </w:pPr>
      <w:r>
        <w:rPr>
          <w:rFonts w:ascii="Arial" w:cs="Arial" w:eastAsia="Arial" w:hAnsi="Arial"/>
          <w:b/>
          <w:bCs/>
          <w:sz w:val="24"/>
          <w:szCs w:val="24"/>
        </w:rPr>
        <w:t xml:space="preserve">Procedure</w:t>
      </w:r>
    </w:p>
    <w:p>
      <w:pPr>
        <w:spacing w:before="60" w:after="60"/>
      </w:pPr>
    </w:p>
    <w:p>
      <w:pPr>
        <w:spacing w:before="60" w:after="60"/>
      </w:pPr>
      <w:r>
        <w:rPr>
          <w:rFonts w:ascii="Arial" w:cs="Arial" w:eastAsia="Arial" w:hAnsi="Arial"/>
          <w:sz w:val="22"/>
          <w:szCs w:val="22"/>
        </w:rPr>
        <w:t xml:space="preserve">When an information security incident is identified or detected, users must report the company management according to paragraph 4.1. The following information must be included as part of the notification:</w:t>
      </w:r>
    </w:p>
    <w:p>
      <w:pPr>
        <w:spacing w:before="60" w:after="60"/>
      </w:pPr>
    </w:p>
    <w:p>
      <w:pPr>
        <w:pStyle w:val="ListParagraph"/>
        <w:numPr>
          <w:ilvl w:val="0"/>
          <w:numId w:val="3"/>
        </w:numPr>
        <w:spacing w:before="40" w:after="40"/>
      </w:pPr>
      <w:r>
        <w:rPr>
          <w:rFonts w:ascii="Arial" w:cs="Arial" w:eastAsia="Arial" w:hAnsi="Arial"/>
          <w:sz w:val="22"/>
          <w:szCs w:val="22"/>
        </w:rPr>
        <w:t xml:space="preserve">Description of the incident</w:t>
      </w:r>
    </w:p>
    <w:p>
      <w:pPr>
        <w:pStyle w:val="ListParagraph"/>
        <w:numPr>
          <w:ilvl w:val="0"/>
          <w:numId w:val="3"/>
        </w:numPr>
        <w:spacing w:before="40" w:after="40"/>
      </w:pPr>
      <w:r>
        <w:rPr>
          <w:rFonts w:ascii="Arial" w:cs="Arial" w:eastAsia="Arial" w:hAnsi="Arial"/>
          <w:sz w:val="22"/>
          <w:szCs w:val="22"/>
        </w:rPr>
        <w:t xml:space="preserve">Date, time, and location of the incident</w:t>
      </w:r>
    </w:p>
    <w:p>
      <w:pPr>
        <w:pStyle w:val="ListParagraph"/>
        <w:numPr>
          <w:ilvl w:val="0"/>
          <w:numId w:val="3"/>
        </w:numPr>
        <w:spacing w:before="40" w:after="40"/>
      </w:pPr>
      <w:r>
        <w:rPr>
          <w:rFonts w:ascii="Arial" w:cs="Arial" w:eastAsia="Arial" w:hAnsi="Arial"/>
          <w:sz w:val="22"/>
          <w:szCs w:val="22"/>
        </w:rPr>
        <w:t xml:space="preserve">The person who discovered the incident</w:t>
      </w:r>
    </w:p>
    <w:p>
      <w:pPr>
        <w:pStyle w:val="ListParagraph"/>
        <w:numPr>
          <w:ilvl w:val="0"/>
          <w:numId w:val="3"/>
        </w:numPr>
        <w:spacing w:before="40" w:after="40"/>
      </w:pPr>
      <w:r>
        <w:rPr>
          <w:rFonts w:ascii="Arial" w:cs="Arial" w:eastAsia="Arial" w:hAnsi="Arial"/>
          <w:sz w:val="22"/>
          <w:szCs w:val="22"/>
        </w:rPr>
        <w:t xml:space="preserve">How the incident was discovered</w:t>
      </w:r>
    </w:p>
    <w:p>
      <w:pPr>
        <w:pStyle w:val="ListParagraph"/>
        <w:numPr>
          <w:ilvl w:val="0"/>
          <w:numId w:val="3"/>
        </w:numPr>
        <w:spacing w:before="40" w:after="40"/>
      </w:pPr>
      <w:r>
        <w:rPr>
          <w:rFonts w:ascii="Arial" w:cs="Arial" w:eastAsia="Arial" w:hAnsi="Arial"/>
          <w:sz w:val="22"/>
          <w:szCs w:val="22"/>
        </w:rPr>
        <w:t xml:space="preserve">Known evidence of the incident</w:t>
      </w:r>
    </w:p>
    <w:p>
      <w:pPr>
        <w:pStyle w:val="ListParagraph"/>
        <w:numPr>
          <w:ilvl w:val="0"/>
          <w:numId w:val="3"/>
        </w:numPr>
        <w:spacing w:before="40" w:after="40"/>
      </w:pPr>
      <w:r>
        <w:rPr>
          <w:rFonts w:ascii="Arial" w:cs="Arial" w:eastAsia="Arial" w:hAnsi="Arial"/>
          <w:sz w:val="22"/>
          <w:szCs w:val="22"/>
        </w:rPr>
        <w:t xml:space="preserve">The affected system(s)</w:t>
      </w:r>
    </w:p>
    <w:p>
      <w:pPr>
        <w:spacing w:before="60" w:after="60"/>
      </w:pPr>
    </w:p>
    <w:p>
      <w:pPr>
        <w:spacing w:before="60" w:after="60"/>
      </w:pPr>
      <w:commentRangeStart w:id="1"/>
      <w:r>
        <w:rPr>
          <w:rFonts w:ascii="Arial" w:cs="Arial" w:eastAsia="Arial" w:hAnsi="Arial"/>
          <w:sz w:val="22"/>
          <w:szCs w:val="22"/>
        </w:rPr>
        <w:t xml:space="preserve">Within 48 hours of the incident being reported, the CTO and Chief Architect shall conduct a preliminary investigation and risk assessment to review and confirm the details of the incident. If the incident is confirmed, the CTO must assess the impact on the organization and assign a severity level, which will determine the level of remediation effort required:</w:t>
      </w:r>
      <w:commentRangeEnd w:id="1"/>
      <w:r>
        <w:rPr>
          <w:rStyle w:val="CommentReference"/>
        </w:rPr>
        <w:commentReference w:id="1"/>
      </w:r>
    </w:p>
    <w:p>
      <w:pPr>
        <w:spacing w:before="60" w:after="60"/>
      </w:pPr>
    </w:p>
    <w:p>
      <w:pPr>
        <w:pStyle w:val="ListParagraph"/>
        <w:numPr>
          <w:ilvl w:val="0"/>
          <w:numId w:val="3"/>
        </w:numPr>
        <w:spacing w:before="40" w:after="40"/>
      </w:pPr>
      <w:r>
        <w:rPr>
          <w:rFonts w:ascii="Arial" w:cs="Arial" w:eastAsia="Arial" w:hAnsi="Arial"/>
          <w:sz w:val="22"/>
          <w:szCs w:val="22"/>
        </w:rPr>
        <w:t xml:space="preserve">Critical: the incident is potentially catastrophic to the organization and/or disrupts the organization's day-to-day operations; a violation of legal, regulatory, or contractual requirements is likely.</w:t>
      </w:r>
    </w:p>
    <w:p>
      <w:pPr>
        <w:spacing w:before="60" w:after="60"/>
      </w:pPr>
    </w:p>
    <w:p>
      <w:pPr>
        <w:pStyle w:val="ListParagraph"/>
        <w:numPr>
          <w:ilvl w:val="1"/>
          <w:numId w:val="3"/>
        </w:numPr>
        <w:spacing w:before="40" w:after="40"/>
      </w:pPr>
      <w:r>
        <w:rPr>
          <w:rFonts w:ascii="Arial" w:cs="Arial" w:eastAsia="Arial" w:hAnsi="Arial"/>
          <w:sz w:val="22"/>
          <w:szCs w:val="22"/>
        </w:rPr>
        <w:t xml:space="preserve">For GDPR purposes, an incident will also be classified as Critical if it:</w:t>
      </w:r>
    </w:p>
    <w:p>
      <w:pPr>
        <w:spacing w:before="60" w:after="60"/>
      </w:pPr>
    </w:p>
    <w:p>
      <w:pPr>
        <w:pStyle w:val="ListParagraph"/>
        <w:numPr>
          <w:ilvl w:val="1"/>
          <w:numId w:val="3"/>
        </w:numPr>
        <w:spacing w:before="40" w:after="40"/>
      </w:pPr>
      <w:r>
        <w:rPr>
          <w:rFonts w:ascii="Arial" w:cs="Arial" w:eastAsia="Arial" w:hAnsi="Arial"/>
          <w:sz w:val="22"/>
          <w:szCs w:val="22"/>
        </w:rPr>
        <w:t xml:space="preserve">Involves special categories of personal data</w:t>
      </w:r>
    </w:p>
    <w:p>
      <w:pPr>
        <w:pStyle w:val="ListParagraph"/>
        <w:numPr>
          <w:ilvl w:val="1"/>
          <w:numId w:val="3"/>
        </w:numPr>
        <w:spacing w:before="40" w:after="40"/>
      </w:pPr>
      <w:r>
        <w:rPr>
          <w:rFonts w:ascii="Arial" w:cs="Arial" w:eastAsia="Arial" w:hAnsi="Arial"/>
          <w:sz w:val="22"/>
          <w:szCs w:val="22"/>
        </w:rPr>
        <w:t xml:space="preserve">Could result in significant harm to data subjects</w:t>
      </w:r>
    </w:p>
    <w:p>
      <w:pPr>
        <w:pStyle w:val="ListParagraph"/>
        <w:numPr>
          <w:ilvl w:val="1"/>
          <w:numId w:val="3"/>
        </w:numPr>
        <w:spacing w:before="40" w:after="40"/>
      </w:pPr>
      <w:r>
        <w:rPr>
          <w:rFonts w:ascii="Arial" w:cs="Arial" w:eastAsia="Arial" w:hAnsi="Arial"/>
          <w:sz w:val="22"/>
          <w:szCs w:val="22"/>
        </w:rPr>
        <w:t xml:space="preserve">Affects a large number of data subjects</w:t>
      </w:r>
    </w:p>
    <w:p>
      <w:pPr>
        <w:pStyle w:val="ListParagraph"/>
        <w:numPr>
          <w:ilvl w:val="0"/>
          <w:numId w:val="3"/>
        </w:numPr>
        <w:spacing w:before="40" w:after="40"/>
      </w:pPr>
      <w:r>
        <w:rPr>
          <w:rFonts w:ascii="Arial" w:cs="Arial" w:eastAsia="Arial" w:hAnsi="Arial"/>
          <w:sz w:val="22"/>
          <w:szCs w:val="22"/>
        </w:rPr>
        <w:t xml:space="preserve">High: the incident will cause harm to one or more business units within the organization and/ or will cause delays to a business unit's activities or the incident is a clear violation of organizational security policy, but will not substantively impact the business.</w:t>
      </w:r>
    </w:p>
    <w:p>
      <w:pPr>
        <w:pStyle w:val="ListParagraph"/>
        <w:numPr>
          <w:ilvl w:val="0"/>
          <w:numId w:val="3"/>
        </w:numPr>
        <w:spacing w:before="40" w:after="40"/>
      </w:pPr>
      <w:r>
        <w:rPr>
          <w:rFonts w:ascii="Arial" w:cs="Arial" w:eastAsia="Arial" w:hAnsi="Arial"/>
          <w:sz w:val="22"/>
          <w:szCs w:val="22"/>
        </w:rPr>
        <w:t xml:space="preserve">Medium: Moderate risk with limited impact or additional exploit conditions required.</w:t>
      </w:r>
    </w:p>
    <w:p>
      <w:pPr>
        <w:pStyle w:val="ListParagraph"/>
        <w:numPr>
          <w:ilvl w:val="0"/>
          <w:numId w:val="3"/>
        </w:numPr>
        <w:spacing w:before="40" w:after="40"/>
      </w:pPr>
      <w:r>
        <w:rPr>
          <w:rFonts w:ascii="Arial" w:cs="Arial" w:eastAsia="Arial" w:hAnsi="Arial"/>
          <w:sz w:val="22"/>
          <w:szCs w:val="22"/>
        </w:rPr>
        <w:t xml:space="preserve">Low: Minimal risk or best-practice issue with little security impact.</w:t>
      </w:r>
    </w:p>
    <w:p>
      <w:pPr>
        <w:spacing w:before="60" w:after="60"/>
      </w:pPr>
    </w:p>
    <w:p>
      <w:pPr>
        <w:spacing w:before="60" w:after="60"/>
      </w:pPr>
      <w:r>
        <w:rPr>
          <w:rFonts w:ascii="Arial" w:cs="Arial" w:eastAsia="Arial" w:hAnsi="Arial"/>
          <w:sz w:val="22"/>
          <w:szCs w:val="22"/>
        </w:rPr>
        <w:t xml:space="preserve">Incident Response Procedures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commentRangeStart w:id="6"/>
      <w:r>
        <w:rPr>
          <w:rFonts w:ascii="Arial" w:cs="Arial" w:eastAsia="Arial" w:hAnsi="Arial"/>
          <w:sz w:val="22"/>
          <w:szCs w:val="22"/>
        </w:rPr>
        <w:t xml:space="preserve">The CTO, in consultation with management sponsors, shall determine appropriate incident response activities to contain and resolve incidents.</w:t>
      </w:r>
      <w:commentRangeEnd w:id="6"/>
      <w:r>
        <w:rPr>
          <w:rStyle w:val="CommentReference"/>
        </w:rPr>
        <w:commentReference w:id="6"/>
      </w:r>
    </w:p>
    <w:p>
      <w:pPr>
        <w:spacing w:before="60" w:after="60"/>
      </w:pPr>
    </w:p>
    <w:p>
      <w:pPr>
        <w:spacing w:before="60" w:after="60"/>
      </w:pPr>
      <w:r>
        <w:rPr>
          <w:rFonts w:ascii="Arial" w:cs="Arial" w:eastAsia="Arial" w:hAnsi="Arial"/>
          <w:sz w:val="22"/>
          <w:szCs w:val="22"/>
        </w:rPr>
        <w:t xml:space="preserve">The CTO must take all necessary steps to preserve forensic evidence (e.g. log information, files, images) for further investigation to determine if any malicious activity has taken place. All such information must be preserved and provided to law enforcement if the incident is determined to be malicious.</w:t>
      </w:r>
    </w:p>
    <w:p>
      <w:pPr>
        <w:spacing w:before="60" w:after="60"/>
      </w:pPr>
    </w:p>
    <w:p>
      <w:pPr>
        <w:spacing w:before="60" w:after="60"/>
      </w:pPr>
      <w:commentRangeStart w:id="11"/>
      <w:r>
        <w:rPr>
          <w:rFonts w:ascii="Arial" w:cs="Arial" w:eastAsia="Arial" w:hAnsi="Arial"/>
          <w:sz w:val="22"/>
          <w:szCs w:val="22"/>
        </w:rPr>
        <w:t xml:space="preserve">If the incident is deemed as High or Medium, the CTO must work with the CSO and the COO to create and execute a communications plan that communicates the incident to users, the public, and others affected.</w:t>
      </w:r>
      <w:commentRangeEnd w:id="11"/>
      <w:r>
        <w:rPr>
          <w:rStyle w:val="CommentReference"/>
        </w:rPr>
        <w:commentReference w:id="11"/>
      </w:r>
    </w:p>
    <w:p>
      <w:pPr>
        <w:spacing w:before="60" w:after="60"/>
      </w:pPr>
    </w:p>
    <w:p>
      <w:pPr>
        <w:spacing w:before="60" w:after="60"/>
      </w:pPr>
      <w:r>
        <w:rPr>
          <w:rFonts w:ascii="Arial" w:cs="Arial" w:eastAsia="Arial" w:hAnsi="Arial"/>
          <w:sz w:val="22"/>
          <w:szCs w:val="22"/>
        </w:rPr>
        <w:t xml:space="preserve">All critical security (including data breaches) incidents are logged and tracked in the ticketing system and communicated to affected parties. Communication is also conducted with senior management for each security incident, to evaluate the root causes, remediation steps, and lessons learned to be able to prevent similar incidents in the future.</w:t>
      </w:r>
    </w:p>
    <w:p>
      <w:pPr>
        <w:spacing w:before="60" w:after="60"/>
      </w:pPr>
    </w:p>
    <w:p>
      <w:pPr>
        <w:spacing w:before="60" w:after="60"/>
      </w:pPr>
      <w:commentRangeStart w:id="7"/>
      <w:r>
        <w:rPr>
          <w:rFonts w:ascii="Arial" w:cs="Arial" w:eastAsia="Arial" w:hAnsi="Arial"/>
          <w:sz w:val="22"/>
          <w:szCs w:val="22"/>
        </w:rPr>
        <w:t xml:space="preserve">The CTO must take all necessary steps to resolve the incident in a timely manner and recover information systems, data, and connectivity. All technical steps taken during an incident must be documented in the organization's incident log, and must contain the following:</w:t>
      </w:r>
      <w:commentRangeEnd w:id="7"/>
      <w:r>
        <w:rPr>
          <w:rStyle w:val="CommentReference"/>
        </w:rPr>
        <w:commentReference w:id="7"/>
      </w:r>
    </w:p>
    <w:p>
      <w:pPr>
        <w:spacing w:before="60" w:after="60"/>
      </w:pPr>
    </w:p>
    <w:p>
      <w:pPr>
        <w:pStyle w:val="ListParagraph"/>
        <w:numPr>
          <w:ilvl w:val="0"/>
          <w:numId w:val="3"/>
        </w:numPr>
        <w:spacing w:before="40" w:after="40"/>
      </w:pPr>
      <w:r>
        <w:rPr>
          <w:rFonts w:ascii="Arial" w:cs="Arial" w:eastAsia="Arial" w:hAnsi="Arial"/>
          <w:sz w:val="22"/>
          <w:szCs w:val="22"/>
        </w:rPr>
        <w:t xml:space="preserve">Description of the incident</w:t>
      </w:r>
    </w:p>
    <w:p>
      <w:pPr>
        <w:pStyle w:val="ListParagraph"/>
        <w:numPr>
          <w:ilvl w:val="0"/>
          <w:numId w:val="3"/>
        </w:numPr>
        <w:spacing w:before="40" w:after="40"/>
      </w:pPr>
      <w:r>
        <w:rPr>
          <w:rFonts w:ascii="Arial" w:cs="Arial" w:eastAsia="Arial" w:hAnsi="Arial"/>
          <w:sz w:val="22"/>
          <w:szCs w:val="22"/>
        </w:rPr>
        <w:t xml:space="preserve">Incident severity level</w:t>
      </w:r>
    </w:p>
    <w:p>
      <w:pPr>
        <w:pStyle w:val="ListParagraph"/>
        <w:numPr>
          <w:ilvl w:val="0"/>
          <w:numId w:val="3"/>
        </w:numPr>
        <w:spacing w:before="40" w:after="40"/>
      </w:pPr>
      <w:r>
        <w:rPr>
          <w:rFonts w:ascii="Arial" w:cs="Arial" w:eastAsia="Arial" w:hAnsi="Arial"/>
          <w:sz w:val="22"/>
          <w:szCs w:val="22"/>
        </w:rPr>
        <w:t xml:space="preserve">The root cause (e.g. source address, website malware, vulnerability)</w:t>
      </w:r>
    </w:p>
    <w:p>
      <w:pPr>
        <w:pStyle w:val="ListParagraph"/>
        <w:numPr>
          <w:ilvl w:val="0"/>
          <w:numId w:val="3"/>
        </w:numPr>
        <w:spacing w:before="40" w:after="40"/>
      </w:pPr>
      <w:r>
        <w:rPr>
          <w:rFonts w:ascii="Arial" w:cs="Arial" w:eastAsia="Arial" w:hAnsi="Arial"/>
          <w:sz w:val="22"/>
          <w:szCs w:val="22"/>
        </w:rPr>
        <w:t xml:space="preserve">Evidence</w:t>
      </w:r>
    </w:p>
    <w:p>
      <w:pPr>
        <w:pStyle w:val="ListParagraph"/>
        <w:numPr>
          <w:ilvl w:val="0"/>
          <w:numId w:val="3"/>
        </w:numPr>
        <w:spacing w:before="40" w:after="40"/>
      </w:pPr>
      <w:r>
        <w:rPr>
          <w:rFonts w:ascii="Arial" w:cs="Arial" w:eastAsia="Arial" w:hAnsi="Arial"/>
          <w:sz w:val="22"/>
          <w:szCs w:val="22"/>
        </w:rPr>
        <w:t xml:space="preserve">Mitigations applied (e.g. patch, re-image)</w:t>
      </w:r>
    </w:p>
    <w:p>
      <w:pPr>
        <w:pStyle w:val="ListParagraph"/>
        <w:numPr>
          <w:ilvl w:val="0"/>
          <w:numId w:val="3"/>
        </w:numPr>
        <w:spacing w:before="40" w:after="40"/>
      </w:pPr>
      <w:r>
        <w:rPr>
          <w:rFonts w:ascii="Arial" w:cs="Arial" w:eastAsia="Arial" w:hAnsi="Arial"/>
          <w:sz w:val="22"/>
          <w:szCs w:val="22"/>
        </w:rPr>
        <w:t xml:space="preserve">Status (open, closed, archived)</w:t>
      </w:r>
    </w:p>
    <w:p>
      <w:pPr>
        <w:spacing w:before="60" w:after="60"/>
      </w:pPr>
    </w:p>
    <w:p>
      <w:pPr>
        <w:spacing w:before="60" w:after="60"/>
      </w:pPr>
      <w:r>
        <w:rPr>
          <w:rFonts w:ascii="Arial" w:cs="Arial" w:eastAsia="Arial" w:hAnsi="Arial"/>
          <w:sz w:val="22"/>
          <w:szCs w:val="22"/>
        </w:rPr>
        <w:t xml:space="preserve">Disclosures (parties to which the details of this incident were disclosed to, such as customers, vendors, law enforcement, etc.)</w:t>
      </w:r>
    </w:p>
    <w:p>
      <w:pPr>
        <w:spacing w:before="60" w:after="60"/>
      </w:pPr>
    </w:p>
    <w:p>
      <w:pPr>
        <w:spacing w:before="60" w:after="60"/>
      </w:pPr>
      <w:commentRangeStart w:id="8"/>
      <w:r>
        <w:rPr>
          <w:rFonts w:ascii="Arial" w:cs="Arial" w:eastAsia="Arial" w:hAnsi="Arial"/>
          <w:sz w:val="22"/>
          <w:szCs w:val="22"/>
        </w:rPr>
        <w:t xml:space="preserve">After an incident has been resolved, the CTO must conduct a post mortem that includes root cause analysis and documentation of any lessons learned.</w:t>
      </w:r>
      <w:commentRangeEnd w:id="8"/>
      <w:r>
        <w:rPr>
          <w:rStyle w:val="CommentReference"/>
        </w:rPr>
        <w:commentReference w:id="8"/>
      </w:r>
    </w:p>
    <w:p>
      <w:pPr>
        <w:spacing w:before="60" w:after="60"/>
      </w:pPr>
    </w:p>
    <w:p>
      <w:pPr>
        <w:spacing w:before="60" w:after="60"/>
      </w:pPr>
      <w:commentRangeStart w:id="12"/>
      <w:r>
        <w:rPr>
          <w:rFonts w:ascii="Arial" w:cs="Arial" w:eastAsia="Arial" w:hAnsi="Arial"/>
          <w:sz w:val="22"/>
          <w:szCs w:val="22"/>
        </w:rPr>
        <w:t xml:space="preserve">Depending on the severity of the incident, the Chief Executive Officer (CEO) may elect to contact external authorities, including but not limited to law enforcement, private investigation firms, and government organizations as part of the response to the incident.</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The CTO must notify all users of the incident, conduct additional training if necessary, and present any lessons learned to prevent future occurrences. Where necessary, the CEO must take disciplinary action if a user's activity is deemed as malicious.</w:t>
      </w:r>
    </w:p>
    <w:p>
      <w:pPr>
        <w:spacing w:before="60" w:after="60"/>
      </w:pPr>
    </w:p>
    <w:p>
      <w:pPr>
        <w:spacing w:before="60" w:after="60"/>
      </w:pPr>
      <w:r>
        <w:rPr>
          <w:rFonts w:ascii="Arial" w:cs="Arial" w:eastAsia="Arial" w:hAnsi="Arial"/>
          <w:sz w:val="22"/>
          <w:szCs w:val="22"/>
        </w:rPr>
        <w:t xml:space="preserve">Low-risk severity incidents are handled through streamlined processes focused on documentation and routine review. These incidents generally do not require immediate escalation or extensive investigation, as they pose minimal impact to operations, security, or compliance. Upon identification, the responsible team member records the incident in the designated tracking system and creates a ticket when appropriate. In some cases, a brief review and notation are sufficient without the need for a formal ticket. All low-risk incidents are periodically reviewed to identify trends, ensure accuracy of documentation, and determine whether any follow-up actions or preventative improvements are needed.</w:t>
      </w:r>
    </w:p>
    <w:p>
      <w:pPr>
        <w:spacing w:before="60" w:after="60"/>
      </w:pPr>
    </w:p>
    <w:p>
      <w:pPr>
        <w:spacing w:before="60" w:after="60"/>
      </w:pPr>
      <w:r>
        <w:rPr>
          <w:rFonts w:ascii="Arial" w:cs="Arial" w:eastAsia="Arial" w:hAnsi="Arial"/>
          <w:sz w:val="22"/>
          <w:szCs w:val="22"/>
        </w:rPr>
        <w:t xml:space="preserve">External Contact Details</w:t>
      </w:r>
    </w:p>
    <w:p>
      <w:pPr>
        <w:spacing w:before="60" w:after="60"/>
      </w:pPr>
    </w:p>
    <w:p>
      <w:pPr>
        <w:spacing w:before="60" w:after="60"/>
      </w:pPr>
    </w:p>
    <w:p>
      <w:pPr>
        <w:spacing w:before="60" w:after="60"/>
      </w:pPr>
    </w:p>
    <w:p>
      <w:pPr>
        <w:spacing w:before="60" w:after="60"/>
      </w:pPr>
      <w:r>
        <w:rPr>
          <w:rFonts w:ascii="Arial" w:cs="Arial" w:eastAsia="Arial" w:hAnsi="Arial"/>
          <w:sz w:val="22"/>
          <w:szCs w:val="22"/>
        </w:rPr>
        <w:t xml:space="preserve">An example has been provided. Please fill out this section with your own content.</w:t>
      </w:r>
    </w:p>
    <w:p>
      <w:pPr>
        <w:spacing w:before="60" w:after="60"/>
      </w:pPr>
    </w:p>
    <w:p>
      <w:pPr>
        <w:spacing w:before="60" w:after="60"/>
      </w:pPr>
      <w:r>
        <w:rPr>
          <w:rFonts w:ascii="Arial" w:cs="Arial" w:eastAsia="Arial" w:hAnsi="Arial"/>
          <w:sz w:val="22"/>
          <w:szCs w:val="22"/>
        </w:rPr>
        <w:t xml:space="preserve">The contact details of the following have been provided for follow-up:</w:t>
      </w:r>
    </w:p>
    <w:p>
      <w:pPr>
        <w:spacing w:before="60" w:after="60"/>
      </w:pPr>
    </w:p>
    <w:p>
      <w:pPr>
        <w:pStyle w:val="ListParagraph"/>
        <w:numPr>
          <w:ilvl w:val="0"/>
          <w:numId w:val="3"/>
        </w:numPr>
        <w:spacing w:before="40" w:after="40"/>
      </w:pPr>
      <w:r>
        <w:rPr>
          <w:rFonts w:ascii="Arial" w:cs="Arial" w:eastAsia="Arial" w:hAnsi="Arial"/>
          <w:sz w:val="22"/>
          <w:szCs w:val="22"/>
        </w:rPr>
        <w:t xml:space="preserve">Data protection regulator</w:t>
      </w:r>
    </w:p>
    <w:p>
      <w:pPr>
        <w:pStyle w:val="ListParagraph"/>
        <w:numPr>
          <w:ilvl w:val="0"/>
          <w:numId w:val="3"/>
        </w:numPr>
        <w:spacing w:before="40" w:after="40"/>
      </w:pPr>
      <w:r>
        <w:rPr>
          <w:rFonts w:ascii="Arial" w:cs="Arial" w:eastAsia="Arial" w:hAnsi="Arial"/>
          <w:sz w:val="22"/>
          <w:szCs w:val="22"/>
        </w:rPr>
        <w:t xml:space="preserve">Industry Regulatory Bodies</w:t>
      </w:r>
    </w:p>
    <w:p>
      <w:pPr>
        <w:pStyle w:val="ListParagraph"/>
        <w:numPr>
          <w:ilvl w:val="0"/>
          <w:numId w:val="3"/>
        </w:numPr>
        <w:spacing w:before="40" w:after="40"/>
      </w:pPr>
      <w:r>
        <w:rPr>
          <w:rFonts w:ascii="Arial" w:cs="Arial" w:eastAsia="Arial" w:hAnsi="Arial"/>
          <w:sz w:val="22"/>
          <w:szCs w:val="22"/>
        </w:rPr>
        <w:t xml:space="preserve">Government Agencies</w:t>
      </w:r>
    </w:p>
    <w:p>
      <w:pPr>
        <w:pStyle w:val="ListParagraph"/>
        <w:numPr>
          <w:ilvl w:val="0"/>
          <w:numId w:val="3"/>
        </w:numPr>
        <w:spacing w:before="40" w:after="40"/>
      </w:pPr>
      <w:r>
        <w:rPr>
          <w:rFonts w:ascii="Arial" w:cs="Arial" w:eastAsia="Arial" w:hAnsi="Arial"/>
          <w:sz w:val="22"/>
          <w:szCs w:val="22"/>
        </w:rPr>
        <w:t xml:space="preserve">Law Enforcement Agencies</w:t>
      </w:r>
    </w:p>
    <w:p>
      <w:pPr>
        <w:pStyle w:val="ListParagraph"/>
        <w:numPr>
          <w:ilvl w:val="0"/>
          <w:numId w:val="3"/>
        </w:numPr>
        <w:spacing w:before="40" w:after="40"/>
      </w:pPr>
      <w:r>
        <w:rPr>
          <w:rFonts w:ascii="Arial" w:cs="Arial" w:eastAsia="Arial" w:hAnsi="Arial"/>
          <w:sz w:val="22"/>
          <w:szCs w:val="22"/>
        </w:rPr>
        <w:t xml:space="preserve">Power Companies</w:t>
      </w:r>
    </w:p>
    <w:p>
      <w:pPr>
        <w:pStyle w:val="ListParagraph"/>
        <w:numPr>
          <w:ilvl w:val="0"/>
          <w:numId w:val="3"/>
        </w:numPr>
        <w:spacing w:before="40" w:after="40"/>
      </w:pPr>
      <w:r>
        <w:rPr>
          <w:rFonts w:ascii="Arial" w:cs="Arial" w:eastAsia="Arial" w:hAnsi="Arial"/>
          <w:sz w:val="22"/>
          <w:szCs w:val="22"/>
        </w:rPr>
        <w:t xml:space="preserve">Telecoms Companies</w:t>
      </w:r>
    </w:p>
    <w:p>
      <w:pPr>
        <w:pStyle w:val="ListParagraph"/>
        <w:numPr>
          <w:ilvl w:val="0"/>
          <w:numId w:val="3"/>
        </w:numPr>
        <w:spacing w:before="40" w:after="40"/>
      </w:pPr>
      <w:r>
        <w:rPr>
          <w:rFonts w:ascii="Arial" w:cs="Arial" w:eastAsia="Arial" w:hAnsi="Arial"/>
          <w:sz w:val="22"/>
          <w:szCs w:val="22"/>
        </w:rPr>
        <w:t xml:space="preserve">Utility Companies</w:t>
      </w:r>
    </w:p>
    <w:p>
      <w:pPr>
        <w:pStyle w:val="ListParagraph"/>
        <w:numPr>
          <w:ilvl w:val="0"/>
          <w:numId w:val="3"/>
        </w:numPr>
        <w:spacing w:before="40" w:after="40"/>
      </w:pPr>
      <w:r>
        <w:rPr>
          <w:rFonts w:ascii="Arial" w:cs="Arial" w:eastAsia="Arial" w:hAnsi="Arial"/>
          <w:sz w:val="22"/>
          <w:szCs w:val="22"/>
        </w:rPr>
        <w:t xml:space="preserve">Emergency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37Z" w:initials="PR">
    <w:p w14:paraId="1E9DBF20" w14:textId="77777777">
      <w:r>
        <w:rPr>
          <w:rStyle w:val="CommentReference"/>
        </w:rPr>
        <w:annotationRef/>
      </w:r>
      <w:r>
        <w:rPr>
          <w:color w:val="000000"/>
          <w:sz w:val="20"/>
          <w:szCs w:val="20"/>
        </w:rPr>
        <w:t>ROLE — Incident Reporting Chain
What this says: All personnel must report security incidents to the CTO first, then escalate through Chief Architect → CSO → COO → CEO if CTO unavailable.
Why it matters: PolicyLift has no Security team or CISO. The CTO is solely responsible for receiving all incident reports. With 4 offshore devs via agency, reporting mechanisms must be clear and accessible across time zones.
Recommendation: Create a 24/7 incident reporting channel (e.g., dedicated email, Slack, escalation form) with response time SLAs. Document the fallback escalation clearly for offshore team. Consider who covers when CTO is unavailable (vacation, illness).</w:t>
      </w:r>
    </w:p>
  </w:comment>
  <w:comment w:id="1" w:author="PolicyLift Reviewer" w:date="2026-02-10T01:43:37Z" w:initials="PR">
    <w:p w14:paraId="098C0CF1" w14:textId="77777777">
      <w:r>
        <w:rPr>
          <w:rStyle w:val="CommentReference"/>
        </w:rPr>
        <w:annotationRef/>
      </w:r>
      <w:r>
        <w:rPr>
          <w:color w:val="000000"/>
          <w:sz w:val="20"/>
          <w:szCs w:val="20"/>
        </w:rPr>
        <w:t>TIMELINE — 48-Hour Incident Investigation Window
What this says: CTO and Chief Architect must conduct preliminary investigation and risk assessment within 48 hours of incident report.
Why it matters: A 48-hour SLA is critical for SOC 2 Type I compliance, but PolicyLift has no dedicated incident response team. The CTO will need to stop other work to investigate.
Recommendation: Establish on-call rotation or deputize a senior developer as backup. Document the investigation template (what info to collect, where to store findings). Track investigation start time and completion time for audit evidence.</w:t>
      </w:r>
    </w:p>
  </w:comment>
  <w:comment w:id="2" w:author="PolicyLift Reviewer" w:date="2026-02-10T01:43:37Z" w:initials="PR">
    <w:p w14:paraId="00BA4500" w14:textId="77777777">
      <w:r>
        <w:rPr>
          <w:rStyle w:val="CommentReference"/>
        </w:rPr>
        <w:annotationRef/>
      </w:r>
      <w:r>
        <w:rPr>
          <w:color w:val="000000"/>
          <w:sz w:val="20"/>
          <w:szCs w:val="20"/>
        </w:rPr>
        <w:t>TIMELINE — Vulnerability Remediation SLAs
What this says: Critical vulnerabilities (24-72 hours), High (7-14 days), Medium (30-60 days), Low (90 days).
Why it matters: These are aggressive timelines for a 9-person startup. The engineering team must prioritize patching, and the CTO must track these deadlines without a dedicated incident response tool.
Recommendation: Set up automated reminders/alerts in Supabase or ticketing system. Document which developer owns each vulnerability. Create a dashboard showing remediation deadline vs. actual completion. Offshore devs will need clarity on who assigns fixes and by what deadline.</w:t>
      </w:r>
    </w:p>
  </w:comment>
  <w:comment w:id="3" w:author="PolicyLift Reviewer" w:date="2026-02-10T01:43:37Z" w:initials="PR">
    <w:p w14:paraId="79EE8019" w14:textId="77777777">
      <w:r>
        <w:rPr>
          <w:rStyle w:val="CommentReference"/>
        </w:rPr>
        <w:annotationRef/>
      </w:r>
      <w:r>
        <w:rPr>
          <w:color w:val="000000"/>
          <w:sz w:val="20"/>
          <w:szCs w:val="20"/>
        </w:rPr>
        <w:t>RECURRING — Annual Incident Response Procedure Review
What this says: Incident response procedures must be reviewed annually by management and updated as required.
Why it matters: SOC 2 auditors will expect evidence of an annual review, including who reviewed it, what was changed, and sign-off.
Recommendation: Schedule the review for the same month each year (e.g., Q4). Have the CTO, CEO, and COO sign the review memo. Document changes in a version-control log (e.g., ’Updated Oct 2024: Added offshore escalation contact’).</w:t>
      </w:r>
    </w:p>
  </w:comment>
  <w:comment w:id="4" w:author="PolicyLift Reviewer" w:date="2026-02-10T01:43:37Z" w:initials="PR">
    <w:p w14:paraId="015AD07F" w14:textId="77777777">
      <w:r>
        <w:rPr>
          <w:rStyle w:val="CommentReference"/>
        </w:rPr>
        <w:annotationRef/>
      </w:r>
      <w:r>
        <w:rPr>
          <w:color w:val="000000"/>
          <w:sz w:val="20"/>
          <w:szCs w:val="20"/>
        </w:rPr>
        <w:t>RECURRING — Annual Incident Response Testing
What this says: Incident response procedures must be tested at least once per year.
Why it matters: SOC 2 requires evidence of a functional incident response process. A tabletop exercise or simulated breach will reveal gaps.
Recommendation: Run a tabletop drill (e.g., ’Scenario: Ransomware detected in production database’). Include CTO, CEO, COO, and at least one offshore dev. Document the drill date, participants, issues discovered, and remediation actions. Save the memo as evidence.</w:t>
      </w:r>
    </w:p>
  </w:comment>
  <w:comment w:id="5" w:author="PolicyLift Reviewer" w:date="2026-02-10T01:43:37Z" w:initials="PR">
    <w:p w14:paraId="5B12818F" w14:textId="77777777">
      <w:r>
        <w:rPr>
          <w:rStyle w:val="CommentReference"/>
        </w:rPr>
        <w:annotationRef/>
      </w:r>
      <w:r>
        <w:rPr>
          <w:color w:val="000000"/>
          <w:sz w:val="20"/>
          <w:szCs w:val="20"/>
        </w:rPr>
        <w:t>PROCESS — Incident Logging and Tracking
What this says: All critical and data breach incidents must be logged, tracked, and communicated to affected parties and senior management.
Why it matters: Audit trail and evidence of timely communication is essential for SOC 2. PolicyLift needs a single source of truth for all incidents.
Recommendation: Use the ticketing system (Jira, GitHub Issues, or custom log) to track every incident. Required fields: incident ID, discovery date/time, severity, affected systems, people notified, remediation start/end, root cause, lessons learned. Export monthly for review.</w:t>
      </w:r>
    </w:p>
  </w:comment>
  <w:comment w:id="6" w:author="PolicyLift Reviewer" w:date="2026-02-10T01:43:37Z" w:initials="PR">
    <w:p w14:paraId="14E8B6EA" w14:textId="77777777">
      <w:r>
        <w:rPr>
          <w:rStyle w:val="CommentReference"/>
        </w:rPr>
        <w:annotationRef/>
      </w:r>
      <w:r>
        <w:rPr>
          <w:color w:val="000000"/>
          <w:sz w:val="20"/>
          <w:szCs w:val="20"/>
        </w:rPr>
        <w:t>ROLE — CTO Incident Response Authority
What this says: The CTO (in consultation with management) determines how to respond to incidents, preserve evidence, and escalate to external authorities if needed.
Why it matters: PolicyLift relies entirely on the CTO for incident decisions. This creates a single point of failure. No backup decision-maker is named.
Recommendation: Create an incident response playbook with decision trees (e.g., ’If data is exposed: Contact CEO and review breach notification requirements’). Identify a co-lead (likely Head of Operations or CEO) who can escalate or make decisions if CTO is unavailable.</w:t>
      </w:r>
    </w:p>
  </w:comment>
  <w:comment w:id="7" w:author="PolicyLift Reviewer" w:date="2026-02-10T01:43:37Z" w:initials="PR">
    <w:p w14:paraId="6B7241ED" w14:textId="77777777">
      <w:r>
        <w:rPr>
          <w:rStyle w:val="CommentReference"/>
        </w:rPr>
        <w:annotationRef/>
      </w:r>
      <w:r>
        <w:rPr>
          <w:color w:val="000000"/>
          <w:sz w:val="20"/>
          <w:szCs w:val="20"/>
        </w:rPr>
        <w:t>EVIDENCE — Incident Documentation Requirements
What this says: Every incident log must include: description, severity, root cause, evidence, mitigations applied, status, and parties disclosed to.
Why it matters: SOC 2 auditors will review incident logs as evidence of a functional incident management process. Missing documentation is a finding.
Recommendation: Create an incident report template with all required fields. Make it mandatory to fill out before closing a ticket. Store all logs in a secure, tamper-proof location (e.g., read-only archive in Supabase). Require CTO sign-off.</w:t>
      </w:r>
    </w:p>
  </w:comment>
  <w:comment w:id="8" w:author="PolicyLift Reviewer" w:date="2026-02-10T01:43:37Z" w:initials="PR">
    <w:p w14:paraId="7FCA326A" w14:textId="77777777">
      <w:r>
        <w:rPr>
          <w:rStyle w:val="CommentReference"/>
        </w:rPr>
        <w:annotationRef/>
      </w:r>
      <w:r>
        <w:rPr>
          <w:color w:val="000000"/>
          <w:sz w:val="20"/>
          <w:szCs w:val="20"/>
        </w:rPr>
        <w:t>PROCESS — Post-Incident Lessons Learned
What this says: After incident resolution, CTO must document root cause analysis and lessons learned.
Why it matters: This drives continuous improvement and helps prevent recurrence. SOC 2 auditors will look for evidence that incidents led to control improvements.
Recommendation: Hold a post-mortem meeting within 1 week of incident closure. Invite CTO, affected team member(s), and CEO/COO. Document: What happened, why it happened, what prevented detection, control improvements needed. Track action items to completion.</w:t>
      </w:r>
    </w:p>
  </w:comment>
  <w:comment w:id="9" w:author="PolicyLift Reviewer" w:date="2026-02-10T01:43:37Z" w:initials="PR">
    <w:p w14:paraId="0BD6D47D" w14:textId="77777777">
      <w:r>
        <w:rPr>
          <w:rStyle w:val="CommentReference"/>
        </w:rPr>
        <w:annotationRef/>
      </w:r>
      <w:r>
        <w:rPr>
          <w:color w:val="000000"/>
          <w:sz w:val="20"/>
          <w:szCs w:val="20"/>
        </w:rPr>
        <w:t>COMMITMENT — Mandatory Incident Reporting with Disciplinary Enforcement
What this says: Failure to report incidents is a security violation and will be escalated to CEO for disciplinary action.
Why it matters: This sets clear expectations for all personnel (including 4 offshore devs) that incident reporting is mandatory. It establishes accountability.
Recommendation: Include this policy in the offshore dev onboarding materials. Confirm they acknowledge understanding of reporting requirements. Communicate to all staff at annual security training.</w:t>
      </w:r>
    </w:p>
  </w:comment>
  <w:comment w:id="10" w:author="PolicyLift Reviewer" w:date="2026-02-10T01:43:37Z" w:initials="PR">
    <w:p w14:paraId="32E69AB2" w14:textId="77777777">
      <w:r>
        <w:rPr>
          <w:rStyle w:val="CommentReference"/>
        </w:rPr>
        <w:annotationRef/>
      </w:r>
      <w:r>
        <w:rPr>
          <w:color w:val="000000"/>
          <w:sz w:val="20"/>
          <w:szCs w:val="20"/>
        </w:rPr>
        <w:t>EVIDENCE — Forensic Evidence Preservation
What this says: Forensic evidence (files, logs, screenshots) must be preserved for potential legal proceedings.
Why it matters: If an incident is malicious or involves external attack, evidence chain is important for law enforcement cooperation and potential litigation.
Recommendation: Document the forensic chain of custody in incident logs. Specify: who collected evidence, when, what was collected, where it is stored, access controls. Work with CTO to ensure logs are not auto-purged. Keep forensic evidence for at least 1 year.</w:t>
      </w:r>
    </w:p>
  </w:comment>
  <w:comment w:id="11" w:author="PolicyLift Reviewer" w:date="2026-02-10T01:43:37Z" w:initials="PR">
    <w:p w14:paraId="39817553" w14:textId="77777777">
      <w:r>
        <w:rPr>
          <w:rStyle w:val="CommentReference"/>
        </w:rPr>
        <w:annotationRef/>
      </w:r>
      <w:r>
        <w:rPr>
          <w:color w:val="000000"/>
          <w:sz w:val="20"/>
          <w:szCs w:val="20"/>
        </w:rPr>
        <w:t>ROLE — CSO Role Gap in Communications Planning
What this says: For High/Medium incidents, CTO coordinates with CSO and COO on external communications and notifications.
Why it matters: PolicyLift has no CSO. This role is undefined. Communications responsibilities are unclear (who notifies customers? when?).
Recommendation: Assign the CSO responsibilities to Head of Operations or CEO. Document: who approves external communications, what channels to use, notification timing (e.g., within 24 hours of breach confirmation). Create a communications template.</w:t>
      </w:r>
    </w:p>
  </w:comment>
  <w:comment w:id="12" w:author="PolicyLift Reviewer" w:date="2026-02-10T01:43:37Z" w:initials="PR">
    <w:p w14:paraId="4E174624" w14:textId="77777777">
      <w:r>
        <w:rPr>
          <w:rStyle w:val="CommentReference"/>
        </w:rPr>
        <w:annotationRef/>
      </w:r>
      <w:r>
        <w:rPr>
          <w:color w:val="000000"/>
          <w:sz w:val="20"/>
          <w:szCs w:val="20"/>
        </w:rPr>
        <w:t>DECISION_NEEDED — External Authority Escalation Decision
What this says: CEO may contact law enforcement, investigation firms, or government agencies based on incident severity.
Why it matters: PolicyLift needs clear criteria for when to escalate to external authorities. Early notification is sometimes legally required.
Recommendation: Create a matrix: ’If incident involves [data breach / customer PII / regulatory data], contact [law enforcement / regulator] within [timeframe].’ Have CEO and COO review and sign off on escalation criteria. Document all external contacts in incident log.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DBF20" w15:done="0"/>
  <w15:commentEx w15:paraId="098C0CF1" w15:done="0"/>
  <w15:commentEx w15:paraId="00BA4500" w15:done="0"/>
  <w15:commentEx w15:paraId="79EE8019" w15:done="0"/>
  <w15:commentEx w15:paraId="015AD07F" w15:done="0"/>
  <w15:commentEx w15:paraId="5B12818F" w15:done="0"/>
  <w15:commentEx w15:paraId="14E8B6EA" w15:done="0"/>
  <w15:commentEx w15:paraId="6B7241ED" w15:done="0"/>
  <w15:commentEx w15:paraId="7FCA326A" w15:done="0"/>
  <w15:commentEx w15:paraId="0BD6D47D" w15:done="0"/>
  <w15:commentEx w15:paraId="32E69AB2" w15:done="0"/>
  <w15:commentEx w15:paraId="39817553" w15:done="0"/>
  <w15:commentEx w15:paraId="4E1746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18E39A2" w16cex:dateUtc="2026-02-10T01:43:37Z"/>
  <w16cex:commentExtensible w16cex:durableId="48825691" w16cex:dateUtc="2026-02-10T01:43:37Z"/>
  <w16cex:commentExtensible w16cex:durableId="715C3204" w16cex:dateUtc="2026-02-10T01:43:37Z"/>
  <w16cex:commentExtensible w16cex:durableId="6E8EADB0" w16cex:dateUtc="2026-02-10T01:43:37Z"/>
  <w16cex:commentExtensible w16cex:durableId="49027A30" w16cex:dateUtc="2026-02-10T01:43:37Z"/>
  <w16cex:commentExtensible w16cex:durableId="7E15FB97" w16cex:dateUtc="2026-02-10T01:43:37Z"/>
  <w16cex:commentExtensible w16cex:durableId="50424BF1" w16cex:dateUtc="2026-02-10T01:43:37Z"/>
  <w16cex:commentExtensible w16cex:durableId="00BDAC90" w16cex:dateUtc="2026-02-10T01:43:37Z"/>
  <w16cex:commentExtensible w16cex:durableId="443993CE" w16cex:dateUtc="2026-02-10T01:43:37Z"/>
  <w16cex:commentExtensible w16cex:durableId="093B9C4F" w16cex:dateUtc="2026-02-10T01:43:37Z"/>
  <w16cex:commentExtensible w16cex:durableId="0800E85B" w16cex:dateUtc="2026-02-10T01:43:37Z"/>
  <w16cex:commentExtensible w16cex:durableId="5024DA13" w16cex:dateUtc="2026-02-10T01:43:37Z"/>
  <w16cex:commentExtensible w16cex:durableId="4CA2CC69" w16cex:dateUtc="2026-02-10T01:43:3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DBF20" w16cid:durableId="318E39A2"/>
  <w16cid:commentId w16cid:paraId="098C0CF1" w16cid:durableId="48825691"/>
  <w16cid:commentId w16cid:paraId="00BA4500" w16cid:durableId="715C3204"/>
  <w16cid:commentId w16cid:paraId="79EE8019" w16cid:durableId="6E8EADB0"/>
  <w16cid:commentId w16cid:paraId="015AD07F" w16cid:durableId="49027A30"/>
  <w16cid:commentId w16cid:paraId="5B12818F" w16cid:durableId="7E15FB97"/>
  <w16cid:commentId w16cid:paraId="14E8B6EA" w16cid:durableId="50424BF1"/>
  <w16cid:commentId w16cid:paraId="6B7241ED" w16cid:durableId="00BDAC90"/>
  <w16cid:commentId w16cid:paraId="7FCA326A" w16cid:durableId="443993CE"/>
  <w16cid:commentId w16cid:paraId="0BD6D47D" w16cid:durableId="093B9C4F"/>
  <w16cid:commentId w16cid:paraId="32E69AB2" w16cid:durableId="0800E85B"/>
  <w16cid:commentId w16cid:paraId="39817553" w16cid:durableId="5024DA13"/>
  <w16cid:commentId w16cid:paraId="4E174624" w16cid:durableId="4CA2CC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2026-02-10T01:43:36.969Z</dcterms:created>
  <dcterms:modified xsi:type="dcterms:W3CDTF">2026-02-10T01:43:36.969Z</dcterms:modified>
</cp:coreProperties>
</file>

<file path=docProps/custom.xml><?xml version="1.0" encoding="utf-8"?>
<Properties xmlns="http://schemas.openxmlformats.org/officeDocument/2006/custom-properties" xmlns:vt="http://schemas.openxmlformats.org/officeDocument/2006/docPropsVTypes"/>
</file>