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Information Security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VENDOR/THIRD-PARTY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All personnel must read, accept, and follow policies annually</w:t>
      </w:r>
    </w:p>
    <w:p>
      <w:pPr>
        <w:pStyle w:val="ListParagraph"/>
        <w:numPr>
          <w:ilvl w:val="0"/>
          <w:numId w:val="2"/>
        </w:numPr>
        <w:spacing w:before="40" w:after="40"/>
      </w:pPr>
      <w:r>
        <w:rPr>
          <w:rFonts w:ascii="Arial" w:cs="Arial" w:eastAsia="Arial" w:hAnsi="Arial"/>
          <w:sz w:val="22"/>
          <w:szCs w:val="22"/>
        </w:rPr>
        <w:t xml:space="preserve">Vulnerability scans monthly; patch management ongoing</w:t>
      </w:r>
    </w:p>
    <w:p>
      <w:pPr>
        <w:pStyle w:val="ListParagraph"/>
        <w:numPr>
          <w:ilvl w:val="0"/>
          <w:numId w:val="2"/>
        </w:numPr>
        <w:spacing w:before="40" w:after="40"/>
      </w:pPr>
      <w:r>
        <w:rPr>
          <w:rFonts w:ascii="Arial" w:cs="Arial" w:eastAsia="Arial" w:hAnsi="Arial"/>
          <w:sz w:val="22"/>
          <w:szCs w:val="22"/>
        </w:rPr>
        <w:t xml:space="preserve">Supabase vendor SOC 2 report must be reviewed annually</w:t>
      </w:r>
    </w:p>
    <w:p>
      <w:pPr>
        <w:pStyle w:val="ListParagraph"/>
        <w:numPr>
          <w:ilvl w:val="0"/>
          <w:numId w:val="2"/>
        </w:numPr>
        <w:spacing w:before="40" w:after="40"/>
      </w:pPr>
      <w:r>
        <w:rPr>
          <w:rFonts w:ascii="Arial" w:cs="Arial" w:eastAsia="Arial" w:hAnsi="Arial"/>
          <w:sz w:val="22"/>
          <w:szCs w:val="22"/>
        </w:rPr>
        <w:t xml:space="preserve">No IT leadership team named; responsibility unclear</w:t>
      </w:r>
    </w:p>
    <w:p>
      <w:pPr>
        <w:pStyle w:val="ListParagraph"/>
        <w:numPr>
          <w:ilvl w:val="0"/>
          <w:numId w:val="2"/>
        </w:numPr>
        <w:spacing w:before="40" w:after="40"/>
      </w:pPr>
      <w:r>
        <w:rPr>
          <w:rFonts w:ascii="Arial" w:cs="Arial" w:eastAsia="Arial" w:hAnsi="Arial"/>
          <w:sz w:val="22"/>
          <w:szCs w:val="22"/>
        </w:rPr>
        <w:t xml:space="preserve">Offshore devs need to sign confidentiality agreements before access to sensitive data</w:t>
      </w:r>
    </w:p>
    <w:p>
      <w:pPr>
        <w:pStyle w:val="ListParagraph"/>
        <w:numPr>
          <w:ilvl w:val="0"/>
          <w:numId w:val="2"/>
        </w:numPr>
        <w:spacing w:before="40" w:after="40"/>
      </w:pPr>
      <w:r>
        <w:rPr>
          <w:rFonts w:ascii="Arial" w:cs="Arial" w:eastAsia="Arial" w:hAnsi="Arial"/>
          <w:sz w:val="22"/>
          <w:szCs w:val="22"/>
        </w:rPr>
        <w:t xml:space="preserve">Change management and deployment controls required</w:t>
      </w:r>
    </w:p>
    <w:p>
      <w:pPr>
        <w:pStyle w:val="ListParagraph"/>
        <w:numPr>
          <w:ilvl w:val="0"/>
          <w:numId w:val="2"/>
        </w:numPr>
        <w:spacing w:before="40" w:after="40"/>
      </w:pPr>
      <w:r>
        <w:rPr>
          <w:rFonts w:ascii="Arial" w:cs="Arial" w:eastAsia="Arial" w:hAnsi="Arial"/>
          <w:sz w:val="22"/>
          <w:szCs w:val="22"/>
        </w:rPr>
        <w:t xml:space="preserve">Logs retained 1+ year for forensic and audit purposes</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Policy approval and technical security oversight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Policy approval and operational security oversight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 and Engineering department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Vulnerability review and patch implementation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 leadership team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Monthly patch approval (not clearly defined in org)</w:t>
            </w:r>
          </w:p>
        </w:tc>
      </w:tr>
    </w:tbl>
    <w:p>
      <w:r>
        <w:br w:type="page"/>
      </w:r>
    </w:p>
    <w:p>
      <w:pPr>
        <w:pStyle w:val="Heading1"/>
        <w:spacing w:before="0" w:after="200"/>
      </w:pPr>
      <w:r>
        <w:rPr>
          <w:rFonts w:ascii="Arial" w:cs="Arial" w:eastAsia="Arial" w:hAnsi="Arial"/>
          <w:b/>
          <w:bCs/>
          <w:sz w:val="32"/>
          <w:szCs w:val="32"/>
        </w:rPr>
        <w:t xml:space="preserve">Information Security Policy</w:t>
      </w:r>
    </w:p>
    <w:p>
      <w:pPr>
        <w:pStyle w:val="Heading2"/>
        <w:spacing w:before="200" w:after="100"/>
      </w:pPr>
      <w:r>
        <w:rPr>
          <w:rFonts w:ascii="Arial" w:cs="Arial" w:eastAsia="Arial" w:hAnsi="Arial"/>
          <w:b/>
          <w:bCs/>
          <w:sz w:val="24"/>
          <w:szCs w:val="24"/>
        </w:rPr>
        <w:t xml:space="preserve">Purpose and Scope</w:t>
      </w:r>
    </w:p>
    <w:p>
      <w:pPr>
        <w:spacing w:before="60" w:after="60"/>
      </w:pPr>
    </w:p>
    <w:p>
      <w:pPr>
        <w:spacing w:before="60" w:after="60"/>
      </w:pPr>
      <w:commentRangeStart w:id="0"/>
      <w:r>
        <w:rPr>
          <w:rFonts w:ascii="Arial" w:cs="Arial" w:eastAsia="Arial" w:hAnsi="Arial"/>
          <w:sz w:val="22"/>
          <w:szCs w:val="22"/>
        </w:rPr>
        <w:t xml:space="preserve">This Information Security Policy addresses the information security policy topics and requirements which maintain the security, confidentiality, integrity, and availability of [Company Name] (hereinafter referred to as "PolicyLift") applications, systems, infrastructure, and data. The topics and requirements called out in this policy should be continuously improved upon to maintain a secure information security posture. From time to time, PolicyLift may update this policy and implement different levels of security controls for different information assets, based on risk and other considerations. This policy is guided by security requirements specific to PolicyLift including compliance with applicable laws and regulations. This policy applies to all PolicyLift assets utilized by personnel acting on behalf of PolicyLift or accessing its applications, infrastructure, systems or data. All personnel are required to read, accept and follow all PolicyLift policies and plans upon starting and at least annually.</w:t>
      </w:r>
      <w:commentRangeEnd w:id="0"/>
      <w:r>
        <w:rPr>
          <w:rStyle w:val="CommentReference"/>
        </w:rPr>
        <w:commentReference w:id="0"/>
      </w:r>
    </w:p>
    <w:p>
      <w:pPr>
        <w:spacing w:before="60" w:after="60"/>
      </w:pPr>
    </w:p>
    <w:p>
      <w:pPr>
        <w:pStyle w:val="Heading2"/>
        <w:spacing w:before="200" w:after="100"/>
      </w:pPr>
      <w:r>
        <w:rPr>
          <w:rFonts w:ascii="Arial" w:cs="Arial" w:eastAsia="Arial" w:hAnsi="Arial"/>
          <w:b/>
          <w:bCs/>
          <w:sz w:val="24"/>
          <w:szCs w:val="24"/>
        </w:rPr>
        <w:t xml:space="preserve">Information Security Communication</w:t>
      </w:r>
    </w:p>
    <w:p>
      <w:pPr>
        <w:spacing w:before="60" w:after="60"/>
      </w:pPr>
    </w:p>
    <w:p>
      <w:pPr>
        <w:spacing w:before="60" w:after="60"/>
      </w:pPr>
      <w:r>
        <w:rPr>
          <w:rFonts w:ascii="Arial" w:cs="Arial" w:eastAsia="Arial" w:hAnsi="Arial"/>
          <w:sz w:val="22"/>
          <w:szCs w:val="22"/>
        </w:rPr>
        <w:t xml:space="preserve">The organization utilizes third-party software to manage its policies and procedures for information security, business code of conduct and operating practices.</w:t>
      </w:r>
    </w:p>
    <w:p>
      <w:pPr>
        <w:spacing w:before="60" w:after="60"/>
      </w:pPr>
    </w:p>
    <w:p>
      <w:pPr>
        <w:spacing w:before="60" w:after="60"/>
      </w:pPr>
      <w:r>
        <w:rPr>
          <w:rFonts w:ascii="Arial" w:cs="Arial" w:eastAsia="Arial" w:hAnsi="Arial"/>
          <w:sz w:val="22"/>
          <w:szCs w:val="22"/>
        </w:rPr>
        <w:t xml:space="preserve">The policies and procedure documents are reviewed and approved by management annually or during significant changes.</w:t>
      </w:r>
    </w:p>
    <w:p>
      <w:pPr>
        <w:spacing w:before="60" w:after="60"/>
      </w:pPr>
    </w:p>
    <w:p>
      <w:pPr>
        <w:spacing w:before="60" w:after="60"/>
      </w:pPr>
      <w:r>
        <w:rPr>
          <w:rFonts w:ascii="Arial" w:cs="Arial" w:eastAsia="Arial" w:hAnsi="Arial"/>
          <w:sz w:val="22"/>
          <w:szCs w:val="22"/>
        </w:rPr>
        <w:t xml:space="preserve">Please contact [Company Contact Email] if you have any questions about PolicyLift information security program.</w:t>
      </w:r>
    </w:p>
    <w:p>
      <w:pPr>
        <w:spacing w:before="60" w:after="60"/>
      </w:pPr>
    </w:p>
    <w:p>
      <w:pPr>
        <w:pStyle w:val="Heading2"/>
        <w:spacing w:before="200" w:after="100"/>
      </w:pPr>
      <w:r>
        <w:rPr>
          <w:rFonts w:ascii="Arial" w:cs="Arial" w:eastAsia="Arial" w:hAnsi="Arial"/>
          <w:b/>
          <w:bCs/>
          <w:sz w:val="24"/>
          <w:szCs w:val="24"/>
        </w:rPr>
        <w:t xml:space="preserve">Access to Policies and Procedures</w:t>
      </w:r>
    </w:p>
    <w:p>
      <w:pPr>
        <w:spacing w:before="60" w:after="60"/>
      </w:pPr>
    </w:p>
    <w:p>
      <w:pPr>
        <w:spacing w:before="60" w:after="60"/>
      </w:pPr>
      <w:r>
        <w:rPr>
          <w:rFonts w:ascii="Arial" w:cs="Arial" w:eastAsia="Arial" w:hAnsi="Arial"/>
          <w:sz w:val="22"/>
          <w:szCs w:val="22"/>
        </w:rPr>
        <w:t xml:space="preserve">Internal security, privacy and confidentiality policies and procedures documents are maintained and accessible to employees with read-only permissions. Changes to these policies require prior approval from the appropriate level of management.</w:t>
      </w:r>
    </w:p>
    <w:p>
      <w:pPr>
        <w:spacing w:before="60" w:after="60"/>
      </w:pPr>
    </w:p>
    <w:p>
      <w:pPr>
        <w:spacing w:before="60" w:after="60"/>
      </w:pPr>
      <w:r>
        <w:rPr>
          <w:rFonts w:ascii="Arial" w:cs="Arial" w:eastAsia="Arial" w:hAnsi="Arial"/>
          <w:sz w:val="22"/>
          <w:szCs w:val="22"/>
        </w:rPr>
        <w:t xml:space="preserve">Policy Modification Authority</w:t>
      </w:r>
    </w:p>
    <w:p>
      <w:pPr>
        <w:spacing w:before="60" w:after="60"/>
      </w:pPr>
    </w:p>
    <w:p>
      <w:pPr>
        <w:spacing w:before="60" w:after="60"/>
      </w:pPr>
    </w:p>
    <w:p>
      <w:pPr>
        <w:spacing w:before="60" w:after="60"/>
      </w:pPr>
    </w:p>
    <w:p>
      <w:pPr>
        <w:spacing w:before="60" w:after="60"/>
      </w:pPr>
    </w:p>
    <w:p>
      <w:pPr>
        <w:spacing w:before="60" w:after="60"/>
      </w:pPr>
      <w:commentRangeStart w:id="1"/>
      <w:r>
        <w:rPr>
          <w:rFonts w:ascii="Arial" w:cs="Arial" w:eastAsia="Arial" w:hAnsi="Arial"/>
          <w:sz w:val="22"/>
          <w:szCs w:val="22"/>
        </w:rPr>
        <w:t xml:space="preserve">The Chief Technology Officer (CTO), Chief Operating Officer (COO), or Board of Directors have the authority to modify, remove, or approve modifications to these policies and procedures.</w:t>
      </w:r>
      <w:commentRangeEnd w:id="1"/>
      <w:r>
        <w:rPr>
          <w:rStyle w:val="CommentReference"/>
        </w:rPr>
        <w:commentReference w:id="1"/>
      </w:r>
    </w:p>
    <w:p>
      <w:pPr>
        <w:spacing w:before="60" w:after="60"/>
      </w:pPr>
    </w:p>
    <w:p>
      <w:pPr>
        <w:spacing w:before="60" w:after="60"/>
      </w:pPr>
      <w:r>
        <w:rPr>
          <w:rFonts w:ascii="Arial" w:cs="Arial" w:eastAsia="Arial" w:hAnsi="Arial"/>
          <w:sz w:val="22"/>
          <w:szCs w:val="22"/>
        </w:rPr>
        <w:t xml:space="preserve">Records of all such changes must be kept and reviewed by the Board.</w:t>
      </w:r>
    </w:p>
    <w:p>
      <w:pPr>
        <w:spacing w:before="60" w:after="60"/>
      </w:pPr>
    </w:p>
    <w:p>
      <w:pPr>
        <w:pStyle w:val="Heading2"/>
        <w:spacing w:before="200" w:after="100"/>
      </w:pPr>
      <w:r>
        <w:rPr>
          <w:rFonts w:ascii="Arial" w:cs="Arial" w:eastAsia="Arial" w:hAnsi="Arial"/>
          <w:b/>
          <w:bCs/>
          <w:sz w:val="24"/>
          <w:szCs w:val="24"/>
        </w:rPr>
        <w:t xml:space="preserve">People Security</w:t>
      </w:r>
    </w:p>
    <w:p>
      <w:pPr>
        <w:spacing w:before="60" w:after="60"/>
      </w:pPr>
    </w:p>
    <w:p>
      <w:pPr>
        <w:spacing w:before="60" w:after="60"/>
      </w:pPr>
      <w:r>
        <w:rPr>
          <w:rFonts w:ascii="Arial" w:cs="Arial" w:eastAsia="Arial" w:hAnsi="Arial"/>
          <w:sz w:val="22"/>
          <w:szCs w:val="22"/>
        </w:rPr>
        <w:t xml:space="preserve">### Background Check</w:t>
      </w:r>
    </w:p>
    <w:p>
      <w:pPr>
        <w:spacing w:before="60" w:after="60"/>
      </w:pPr>
    </w:p>
    <w:p>
      <w:pPr>
        <w:spacing w:before="60" w:after="60"/>
      </w:pPr>
      <w:commentRangeStart w:id="2"/>
      <w:r>
        <w:rPr>
          <w:rFonts w:ascii="Arial" w:cs="Arial" w:eastAsia="Arial" w:hAnsi="Arial"/>
          <w:sz w:val="22"/>
          <w:szCs w:val="22"/>
        </w:rPr>
        <w:t xml:space="preserve">All PolicyLift new employees and contractors are required to complete a background check/reference check prior to joining. An authorized member of PolicyLift must review each background check in accordance with local laws.</w:t>
      </w:r>
      <w:commentRangeEnd w:id="2"/>
      <w:r>
        <w:rPr>
          <w:rStyle w:val="CommentReference"/>
        </w:rPr>
        <w:commentReference w:id="2"/>
      </w:r>
    </w:p>
    <w:p>
      <w:pPr>
        <w:spacing w:before="60" w:after="60"/>
      </w:pPr>
    </w:p>
    <w:p>
      <w:pPr>
        <w:spacing w:before="60" w:after="60"/>
      </w:pPr>
      <w:r>
        <w:rPr>
          <w:rFonts w:ascii="Arial" w:cs="Arial" w:eastAsia="Arial" w:hAnsi="Arial"/>
          <w:sz w:val="22"/>
          <w:szCs w:val="22"/>
        </w:rPr>
        <w:t xml:space="preserve">### Confidentiality</w:t>
      </w:r>
    </w:p>
    <w:p>
      <w:pPr>
        <w:spacing w:before="60" w:after="60"/>
      </w:pPr>
    </w:p>
    <w:p>
      <w:pPr>
        <w:spacing w:before="60" w:after="60"/>
      </w:pPr>
      <w:commentRangeStart w:id="3"/>
      <w:r>
        <w:rPr>
          <w:rFonts w:ascii="Arial" w:cs="Arial" w:eastAsia="Arial" w:hAnsi="Arial"/>
          <w:sz w:val="22"/>
          <w:szCs w:val="22"/>
        </w:rPr>
        <w:t xml:space="preserve">Prior to accessing sensitive information, personnel are required to sign an industry-standard confidentiality agreement protecting PolicyLift confidential information.</w:t>
      </w:r>
      <w:commentRangeEnd w:id="3"/>
      <w:r>
        <w:rPr>
          <w:rStyle w:val="CommentReference"/>
        </w:rPr>
        <w:commentReference w:id="3"/>
      </w:r>
    </w:p>
    <w:p>
      <w:pPr>
        <w:spacing w:before="60" w:after="60"/>
      </w:pPr>
    </w:p>
    <w:p>
      <w:pPr>
        <w:spacing w:before="60" w:after="60"/>
      </w:pPr>
      <w:r>
        <w:rPr>
          <w:rFonts w:ascii="Arial" w:cs="Arial" w:eastAsia="Arial" w:hAnsi="Arial"/>
          <w:sz w:val="22"/>
          <w:szCs w:val="22"/>
        </w:rPr>
        <w:t xml:space="preserve">### Secure Coding</w:t>
      </w:r>
    </w:p>
    <w:p>
      <w:pPr>
        <w:spacing w:before="60" w:after="60"/>
      </w:pPr>
    </w:p>
    <w:p>
      <w:pPr>
        <w:spacing w:before="60" w:after="60"/>
      </w:pPr>
      <w:commentRangeStart w:id="4"/>
      <w:r>
        <w:rPr>
          <w:rFonts w:ascii="Arial" w:cs="Arial" w:eastAsia="Arial" w:hAnsi="Arial"/>
          <w:sz w:val="22"/>
          <w:szCs w:val="22"/>
        </w:rPr>
        <w:t xml:space="preserve">PolicyLift promotes the understanding of secure coding to its engineers in order to improve the security and robustness of PolicyLift products. Security awareness and training must encompass general security awareness, role-specific security requirements, and ongoing education about emerging threats. The effectiveness of these programs must be regularly assessed and documented.</w:t>
      </w:r>
      <w:commentRangeEnd w:id="4"/>
      <w:r>
        <w:rPr>
          <w:rStyle w:val="CommentReference"/>
        </w:rPr>
        <w:commentReference w:id="4"/>
      </w:r>
    </w:p>
    <w:p>
      <w:pPr>
        <w:spacing w:before="60" w:after="60"/>
      </w:pPr>
    </w:p>
    <w:p>
      <w:pPr>
        <w:pStyle w:val="Heading2"/>
        <w:spacing w:before="200" w:after="100"/>
      </w:pPr>
      <w:r>
        <w:rPr>
          <w:rFonts w:ascii="Arial" w:cs="Arial" w:eastAsia="Arial" w:hAnsi="Arial"/>
          <w:b/>
          <w:bCs/>
          <w:sz w:val="24"/>
          <w:szCs w:val="24"/>
        </w:rPr>
        <w:t xml:space="preserve">Physical Security</w:t>
      </w:r>
    </w:p>
    <w:p>
      <w:pPr>
        <w:spacing w:before="60" w:after="60"/>
      </w:pPr>
    </w:p>
    <w:p>
      <w:pPr>
        <w:spacing w:before="60" w:after="60"/>
      </w:pPr>
      <w:r>
        <w:rPr>
          <w:rFonts w:ascii="Arial" w:cs="Arial" w:eastAsia="Arial" w:hAnsi="Arial"/>
          <w:sz w:val="22"/>
          <w:szCs w:val="22"/>
        </w:rPr>
        <w:t xml:space="preserve">### Clear Desk</w:t>
      </w:r>
    </w:p>
    <w:p>
      <w:pPr>
        <w:spacing w:before="60" w:after="60"/>
      </w:pPr>
    </w:p>
    <w:p>
      <w:pPr>
        <w:spacing w:before="60" w:after="60"/>
      </w:pPr>
      <w:r>
        <w:rPr>
          <w:rFonts w:ascii="Arial" w:cs="Arial" w:eastAsia="Arial" w:hAnsi="Arial"/>
          <w:sz w:val="22"/>
          <w:szCs w:val="22"/>
        </w:rPr>
        <w:t xml:space="preserve">PolicyLift personnel are required to ensure that all sensitive information in hardcopy or electronic form is secure in their work area when it is unattended. This requirement extends to both remote and in-office work.</w:t>
      </w:r>
    </w:p>
    <w:p>
      <w:pPr>
        <w:spacing w:before="60" w:after="60"/>
      </w:pPr>
    </w:p>
    <w:p>
      <w:pPr>
        <w:spacing w:before="60" w:after="60"/>
      </w:pPr>
      <w:r>
        <w:rPr>
          <w:rFonts w:ascii="Arial" w:cs="Arial" w:eastAsia="Arial" w:hAnsi="Arial"/>
          <w:sz w:val="22"/>
          <w:szCs w:val="22"/>
        </w:rPr>
        <w:t xml:space="preserve">PolicyLift personnel must remove hardcopies of sensitive information from desks and lock the information in a drawer when desks are unoccupied and at the end of the work day. Keys used to access sensitive information must not be left at an unattended desk.</w:t>
      </w:r>
    </w:p>
    <w:p>
      <w:pPr>
        <w:spacing w:before="60" w:after="60"/>
      </w:pPr>
    </w:p>
    <w:p>
      <w:pPr>
        <w:spacing w:before="60" w:after="60"/>
      </w:pPr>
      <w:r>
        <w:rPr>
          <w:rFonts w:ascii="Arial" w:cs="Arial" w:eastAsia="Arial" w:hAnsi="Arial"/>
          <w:sz w:val="22"/>
          <w:szCs w:val="22"/>
        </w:rPr>
        <w:t xml:space="preserve">### Clear Screen</w:t>
      </w:r>
    </w:p>
    <w:p>
      <w:pPr>
        <w:spacing w:before="60" w:after="60"/>
      </w:pPr>
    </w:p>
    <w:p>
      <w:pPr>
        <w:spacing w:before="60" w:after="60"/>
      </w:pPr>
      <w:r>
        <w:rPr>
          <w:rFonts w:ascii="Arial" w:cs="Arial" w:eastAsia="Arial" w:hAnsi="Arial"/>
          <w:sz w:val="22"/>
          <w:szCs w:val="22"/>
        </w:rPr>
        <w:t xml:space="preserve">PolicyLift employees and contractors must be aware of their surroundings at all times and ensure that no unauthorized individuals have access to see or hear sensitive information. All mobile and desktop devices must be locked when unoccupied. Session time-outs and lockouts are enforced through technical controls for all systems containing covered information.</w:t>
      </w:r>
    </w:p>
    <w:p>
      <w:pPr>
        <w:spacing w:before="60" w:after="60"/>
      </w:pPr>
    </w:p>
    <w:p>
      <w:pPr>
        <w:spacing w:before="60" w:after="60"/>
      </w:pPr>
      <w:r>
        <w:rPr>
          <w:rFonts w:ascii="Arial" w:cs="Arial" w:eastAsia="Arial" w:hAnsi="Arial"/>
          <w:sz w:val="22"/>
          <w:szCs w:val="22"/>
        </w:rPr>
        <w:t xml:space="preserve">All devices containing sensitive information, including mobile devices, shall be configured to automatically lock after a period of inactivity (e.g. screen saver).</w:t>
      </w:r>
    </w:p>
    <w:p>
      <w:pPr>
        <w:spacing w:before="60" w:after="60"/>
      </w:pPr>
    </w:p>
    <w:p>
      <w:pPr>
        <w:spacing w:before="60" w:after="60"/>
      </w:pPr>
      <w:r>
        <w:rPr>
          <w:rFonts w:ascii="Arial" w:cs="Arial" w:eastAsia="Arial" w:hAnsi="Arial"/>
          <w:sz w:val="22"/>
          <w:szCs w:val="22"/>
        </w:rPr>
        <w:t xml:space="preserve">### Remote Work</w:t>
      </w:r>
    </w:p>
    <w:p>
      <w:pPr>
        <w:spacing w:before="60" w:after="60"/>
      </w:pPr>
    </w:p>
    <w:p>
      <w:pPr>
        <w:spacing w:before="60" w:after="60"/>
      </w:pPr>
      <w:r>
        <w:rPr>
          <w:rFonts w:ascii="Arial" w:cs="Arial" w:eastAsia="Arial" w:hAnsi="Arial"/>
          <w:sz w:val="22"/>
          <w:szCs w:val="22"/>
        </w:rPr>
        <w:t xml:space="preserve">Any PolicyLift issued devices used to access company applications, systems, infrastructure, or data must be used only by the authorized employee or contractor of such device.</w:t>
      </w:r>
    </w:p>
    <w:p>
      <w:pPr>
        <w:spacing w:before="60" w:after="60"/>
      </w:pPr>
    </w:p>
    <w:p>
      <w:pPr>
        <w:spacing w:before="60" w:after="60"/>
      </w:pPr>
      <w:r>
        <w:rPr>
          <w:rFonts w:ascii="Arial" w:cs="Arial" w:eastAsia="Arial" w:hAnsi="Arial"/>
          <w:sz w:val="22"/>
          <w:szCs w:val="22"/>
        </w:rPr>
        <w:t xml:space="preserve">Employees or contractors accessing PolicyLift network or other cloud-based networks or tools are required to use HTTPS/TLS 1.2+ at a minimum to protect data-in-transit.</w:t>
      </w:r>
    </w:p>
    <w:p>
      <w:pPr>
        <w:spacing w:before="60" w:after="60"/>
      </w:pPr>
    </w:p>
    <w:p>
      <w:pPr>
        <w:spacing w:before="60" w:after="60"/>
      </w:pPr>
      <w:r>
        <w:rPr>
          <w:rFonts w:ascii="Arial" w:cs="Arial" w:eastAsia="Arial" w:hAnsi="Arial"/>
          <w:sz w:val="22"/>
          <w:szCs w:val="22"/>
        </w:rPr>
        <w:t xml:space="preserve">If you are in a public space, ensure your sight lines are blocked and do not have customer conversations or other confidential conversations. If someone is close to you, assume they can see and hear everything. Connecting directly to a public wireless network that doesn't employ, at minimum, WPA-2 or an equivalent wireless protocol is prohibited.</w:t>
      </w:r>
    </w:p>
    <w:p>
      <w:pPr>
        <w:spacing w:before="60" w:after="60"/>
      </w:pPr>
    </w:p>
    <w:p>
      <w:pPr>
        <w:spacing w:before="60" w:after="60"/>
      </w:pPr>
      <w:r>
        <w:rPr>
          <w:rFonts w:ascii="Arial" w:cs="Arial" w:eastAsia="Arial" w:hAnsi="Arial"/>
          <w:sz w:val="22"/>
          <w:szCs w:val="22"/>
        </w:rPr>
        <w:t xml:space="preserve">While working at home, employees and applicable contractors should be mindful when visitors (e.g. maintenance personnel) are at their residences, as visitors could become privy to sensitive information left up on computer screens.</w:t>
      </w:r>
    </w:p>
    <w:p>
      <w:pPr>
        <w:spacing w:before="60" w:after="60"/>
      </w:pPr>
    </w:p>
    <w:p>
      <w:pPr>
        <w:pStyle w:val="Heading2"/>
        <w:spacing w:before="200" w:after="100"/>
      </w:pPr>
      <w:r>
        <w:rPr>
          <w:rFonts w:ascii="Arial" w:cs="Arial" w:eastAsia="Arial" w:hAnsi="Arial"/>
          <w:b/>
          <w:bCs/>
          <w:sz w:val="24"/>
          <w:szCs w:val="24"/>
        </w:rPr>
        <w:t xml:space="preserve">Infrastructure Security</w:t>
      </w:r>
    </w:p>
    <w:p>
      <w:pPr>
        <w:spacing w:before="60" w:after="60"/>
      </w:pPr>
    </w:p>
    <w:p>
      <w:pPr>
        <w:spacing w:before="60" w:after="60"/>
      </w:pPr>
      <w:r>
        <w:rPr>
          <w:rFonts w:ascii="Arial" w:cs="Arial" w:eastAsia="Arial" w:hAnsi="Arial"/>
          <w:sz w:val="22"/>
          <w:szCs w:val="22"/>
        </w:rPr>
        <w:t xml:space="preserve">All production systems should be hosted on a cloud environment which is equipped with appropriate physical security controls and is the responsibility of subservice organization. Physical security and environmental controls have been implemented to protect systems inside the server room by the subservice organization.</w:t>
      </w:r>
    </w:p>
    <w:p>
      <w:pPr>
        <w:spacing w:before="60" w:after="60"/>
      </w:pPr>
    </w:p>
    <w:p>
      <w:pPr>
        <w:spacing w:before="60" w:after="60"/>
      </w:pPr>
      <w:commentRangeStart w:id="14"/>
      <w:r>
        <w:rPr>
          <w:rFonts w:ascii="Arial" w:cs="Arial" w:eastAsia="Arial" w:hAnsi="Arial"/>
          <w:sz w:val="22"/>
          <w:szCs w:val="22"/>
        </w:rPr>
        <w:t xml:space="preserve">The SOC 2 report of subservice organization should be reviewed on an annual basis to evaluate the effectiveness of the controls at the subservice organization.</w:t>
      </w:r>
      <w:commentRangeEnd w:id="14"/>
      <w:r>
        <w:rPr>
          <w:rStyle w:val="CommentReference"/>
        </w:rPr>
        <w:commentReference w:id="14"/>
      </w:r>
    </w:p>
    <w:p>
      <w:pPr>
        <w:spacing w:before="60" w:after="60"/>
      </w:pPr>
    </w:p>
    <w:p>
      <w:pPr>
        <w:pStyle w:val="Heading2"/>
        <w:spacing w:before="200" w:after="100"/>
      </w:pPr>
      <w:r>
        <w:rPr>
          <w:rFonts w:ascii="Arial" w:cs="Arial" w:eastAsia="Arial" w:hAnsi="Arial"/>
          <w:b/>
          <w:bCs/>
          <w:sz w:val="24"/>
          <w:szCs w:val="24"/>
        </w:rPr>
        <w:t xml:space="preserve">Privacy</w:t>
      </w:r>
    </w:p>
    <w:p>
      <w:pPr>
        <w:spacing w:before="60" w:after="60"/>
      </w:pPr>
    </w:p>
    <w:p>
      <w:pPr>
        <w:spacing w:before="60" w:after="60"/>
      </w:pPr>
      <w:r>
        <w:rPr>
          <w:rFonts w:ascii="Arial" w:cs="Arial" w:eastAsia="Arial" w:hAnsi="Arial"/>
          <w:sz w:val="22"/>
          <w:szCs w:val="22"/>
        </w:rPr>
        <w:t xml:space="preserve">### Personal Data</w:t>
      </w:r>
    </w:p>
    <w:p>
      <w:pPr>
        <w:spacing w:before="60" w:after="60"/>
      </w:pPr>
    </w:p>
    <w:p>
      <w:pPr>
        <w:spacing w:before="60" w:after="60"/>
      </w:pPr>
      <w:r>
        <w:rPr>
          <w:rFonts w:ascii="Arial" w:cs="Arial" w:eastAsia="Arial" w:hAnsi="Arial"/>
          <w:sz w:val="22"/>
          <w:szCs w:val="22"/>
        </w:rPr>
        <w:t xml:space="preserve">PolicyLift personnel must treat personal data with appropriate security and handling and accommodate data subject requests, as required by applicable laws and regulations. No unauthorized personnel should have access to personal data.</w:t>
      </w:r>
    </w:p>
    <w:p>
      <w:pPr>
        <w:spacing w:before="60" w:after="60"/>
      </w:pPr>
    </w:p>
    <w:p>
      <w:pPr>
        <w:spacing w:before="60" w:after="60"/>
      </w:pPr>
      <w:r>
        <w:rPr>
          <w:rFonts w:ascii="Arial" w:cs="Arial" w:eastAsia="Arial" w:hAnsi="Arial"/>
          <w:sz w:val="22"/>
          <w:szCs w:val="22"/>
        </w:rPr>
        <w:t xml:space="preserve">Additionally, to ensure compliance with HIPAA, satisfactory assurances required by the vendor with respect to create, receive, maintain, or transmit electronic protected health information on behalf of the entity be documented through a written contract or other arrangement with the business associate that meets the applicable requirements.</w:t>
      </w:r>
    </w:p>
    <w:p>
      <w:pPr>
        <w:spacing w:before="60" w:after="60"/>
      </w:pPr>
    </w:p>
    <w:p>
      <w:pPr>
        <w:pStyle w:val="Heading2"/>
        <w:spacing w:before="200" w:after="100"/>
      </w:pPr>
      <w:r>
        <w:rPr>
          <w:rFonts w:ascii="Arial" w:cs="Arial" w:eastAsia="Arial" w:hAnsi="Arial"/>
          <w:b/>
          <w:bCs/>
          <w:sz w:val="24"/>
          <w:szCs w:val="24"/>
        </w:rPr>
        <w:t xml:space="preserve">System Access Security</w:t>
      </w:r>
    </w:p>
    <w:p>
      <w:pPr>
        <w:spacing w:before="60" w:after="60"/>
      </w:pPr>
    </w:p>
    <w:p>
      <w:pPr>
        <w:spacing w:before="60" w:after="60"/>
      </w:pPr>
      <w:r>
        <w:rPr>
          <w:rFonts w:ascii="Arial" w:cs="Arial" w:eastAsia="Arial" w:hAnsi="Arial"/>
          <w:sz w:val="22"/>
          <w:szCs w:val="22"/>
        </w:rPr>
        <w:t xml:space="preserve">PolicyLift adheres to the principle of least privilege, specifying that team members will be given access to only the information and resources necessary to perform their job functions as determined by management or a designee. Requests for escalation of privileges or changes to privileges and access permissions are documented and require approval by an authorized manager. System access is revoked immediately upon termination or resignation.</w:t>
      </w:r>
    </w:p>
    <w:p>
      <w:pPr>
        <w:spacing w:before="60" w:after="60"/>
      </w:pPr>
    </w:p>
    <w:p>
      <w:pPr>
        <w:spacing w:before="60" w:after="60"/>
      </w:pPr>
      <w:r>
        <w:rPr>
          <w:rFonts w:ascii="Arial" w:cs="Arial" w:eastAsia="Arial" w:hAnsi="Arial"/>
          <w:sz w:val="22"/>
          <w:szCs w:val="22"/>
        </w:rPr>
        <w:t xml:space="preserve">### Account Audits</w:t>
      </w:r>
    </w:p>
    <w:p>
      <w:pPr>
        <w:spacing w:before="60" w:after="60"/>
      </w:pPr>
    </w:p>
    <w:p>
      <w:pPr>
        <w:spacing w:before="60" w:after="60"/>
      </w:pPr>
      <w:commentRangeStart w:id="5"/>
      <w:r>
        <w:rPr>
          <w:rFonts w:ascii="Arial" w:cs="Arial" w:eastAsia="Arial" w:hAnsi="Arial"/>
          <w:sz w:val="22"/>
          <w:szCs w:val="22"/>
        </w:rPr>
        <w:t xml:space="preserve">Audits of access and privileges to sensitive PolicyLift applications, infrastructure, systems, and data are performed regularly and reviewed by authorized personnel.</w:t>
      </w:r>
      <w:commentRangeEnd w:id="5"/>
      <w:r>
        <w:rPr>
          <w:rStyle w:val="CommentReference"/>
        </w:rPr>
        <w:commentReference w:id="5"/>
      </w:r>
    </w:p>
    <w:p>
      <w:pPr>
        <w:spacing w:before="60" w:after="60"/>
      </w:pPr>
    </w:p>
    <w:p>
      <w:pPr>
        <w:pStyle w:val="Heading2"/>
        <w:spacing w:before="200" w:after="100"/>
      </w:pPr>
      <w:r>
        <w:rPr>
          <w:rFonts w:ascii="Arial" w:cs="Arial" w:eastAsia="Arial" w:hAnsi="Arial"/>
          <w:b/>
          <w:bCs/>
          <w:sz w:val="24"/>
          <w:szCs w:val="24"/>
        </w:rPr>
        <w:t xml:space="preserve">Asset Security</w:t>
      </w:r>
    </w:p>
    <w:p>
      <w:pPr>
        <w:spacing w:before="60" w:after="60"/>
      </w:pPr>
    </w:p>
    <w:p>
      <w:pPr>
        <w:spacing w:before="60" w:after="60"/>
      </w:pPr>
      <w:r>
        <w:rPr>
          <w:rFonts w:ascii="Arial" w:cs="Arial" w:eastAsia="Arial" w:hAnsi="Arial"/>
          <w:sz w:val="22"/>
          <w:szCs w:val="22"/>
        </w:rPr>
        <w:t xml:space="preserve">PolicyLift maintains an Asset Register or Asset Monitoring Tool designed to track and set configuration in line with the following baseline hardening standards:</w:t>
      </w:r>
    </w:p>
    <w:p>
      <w:pPr>
        <w:spacing w:before="60" w:after="60"/>
      </w:pPr>
    </w:p>
    <w:p>
      <w:pPr>
        <w:pStyle w:val="ListParagraph"/>
        <w:numPr>
          <w:ilvl w:val="0"/>
          <w:numId w:val="3"/>
        </w:numPr>
        <w:spacing w:before="40" w:after="40"/>
      </w:pPr>
      <w:commentRangeStart w:id="6"/>
      <w:r>
        <w:rPr>
          <w:rFonts w:ascii="Arial" w:cs="Arial" w:eastAsia="Arial" w:hAnsi="Arial"/>
          <w:sz w:val="22"/>
          <w:szCs w:val="22"/>
        </w:rPr>
        <w:t xml:space="preserve">The company maintains an inventory of its assets including details on asset ownership and location. The asset inventory listing is reviewed and updated by management on an as-needed basis or at least annually.</w:t>
      </w:r>
      <w:commentRangeEnd w:id="6"/>
      <w:r>
        <w:rPr>
          <w:rStyle w:val="CommentReference"/>
        </w:rPr>
        <w:commentReference w:id="6"/>
      </w:r>
    </w:p>
    <w:p>
      <w:pPr>
        <w:spacing w:before="60" w:after="60"/>
      </w:pPr>
    </w:p>
    <w:p>
      <w:pPr>
        <w:pStyle w:val="ListParagraph"/>
        <w:numPr>
          <w:ilvl w:val="0"/>
          <w:numId w:val="3"/>
        </w:numPr>
        <w:spacing w:before="40" w:after="40"/>
      </w:pPr>
      <w:commentRangeStart w:id="7"/>
      <w:r>
        <w:rPr>
          <w:rFonts w:ascii="Arial" w:cs="Arial" w:eastAsia="Arial" w:hAnsi="Arial"/>
          <w:sz w:val="22"/>
          <w:szCs w:val="22"/>
        </w:rPr>
        <w:t xml:space="preserve">Disk encryption and system passwords should be enabled across all organization workstations.</w:t>
      </w:r>
      <w:commentRangeEnd w:id="7"/>
      <w:r>
        <w:rPr>
          <w:rStyle w:val="CommentReference"/>
        </w:rPr>
        <w:commentReference w:id="7"/>
      </w:r>
    </w:p>
    <w:p>
      <w:pPr>
        <w:spacing w:before="60" w:after="60"/>
      </w:pPr>
    </w:p>
    <w:p>
      <w:pPr>
        <w:pStyle w:val="ListParagraph"/>
        <w:numPr>
          <w:ilvl w:val="0"/>
          <w:numId w:val="3"/>
        </w:numPr>
        <w:spacing w:before="40" w:after="40"/>
      </w:pPr>
      <w:r>
        <w:rPr>
          <w:rFonts w:ascii="Arial" w:cs="Arial" w:eastAsia="Arial" w:hAnsi="Arial"/>
          <w:sz w:val="22"/>
          <w:szCs w:val="22"/>
        </w:rPr>
        <w:t xml:space="preserve">Use of Removable media should be restricted. In case removable media is required to transfer restricted data to people or entities outside the company or authorized users, an appropriate approval should be required for such use.</w:t>
      </w:r>
    </w:p>
    <w:p>
      <w:pPr>
        <w:spacing w:before="60" w:after="60"/>
      </w:pPr>
    </w:p>
    <w:p>
      <w:pPr>
        <w:pStyle w:val="ListParagraph"/>
        <w:numPr>
          <w:ilvl w:val="0"/>
          <w:numId w:val="3"/>
        </w:numPr>
        <w:spacing w:before="40" w:after="40"/>
      </w:pPr>
      <w:r>
        <w:rPr>
          <w:rFonts w:ascii="Arial" w:cs="Arial" w:eastAsia="Arial" w:hAnsi="Arial"/>
          <w:sz w:val="22"/>
          <w:szCs w:val="22"/>
        </w:rPr>
        <w:t xml:space="preserve">Anti-virus and Malware protection software should be installed and configured for Windows-based workstations and laptops. The Anti-virus should set up to automatically update on a daily basis.</w:t>
      </w:r>
    </w:p>
    <w:p>
      <w:pPr>
        <w:spacing w:before="60" w:after="60"/>
      </w:pPr>
    </w:p>
    <w:p>
      <w:pPr>
        <w:pStyle w:val="ListParagraph"/>
        <w:numPr>
          <w:ilvl w:val="0"/>
          <w:numId w:val="3"/>
        </w:numPr>
        <w:spacing w:before="40" w:after="40"/>
      </w:pPr>
      <w:r>
        <w:rPr>
          <w:rFonts w:ascii="Arial" w:cs="Arial" w:eastAsia="Arial" w:hAnsi="Arial"/>
          <w:sz w:val="22"/>
          <w:szCs w:val="22"/>
        </w:rPr>
        <w:t xml:space="preserve">Workstations should be configured to receive automatic patch updates. In addition, workstation must be scanned to test patch compliance on a daily basis.</w:t>
      </w:r>
    </w:p>
    <w:p>
      <w:pPr>
        <w:spacing w:before="60" w:after="60"/>
      </w:pPr>
    </w:p>
    <w:p>
      <w:pPr>
        <w:pStyle w:val="ListParagraph"/>
        <w:numPr>
          <w:ilvl w:val="0"/>
          <w:numId w:val="3"/>
        </w:numPr>
        <w:spacing w:before="40" w:after="40"/>
      </w:pPr>
      <w:r>
        <w:rPr>
          <w:rFonts w:ascii="Arial" w:cs="Arial" w:eastAsia="Arial" w:hAnsi="Arial"/>
          <w:sz w:val="22"/>
          <w:szCs w:val="22"/>
        </w:rPr>
        <w:t xml:space="preserve">The company should engage a third‐party for sanitizing digital media to remove any data and software prior to its disposal/degaussing.</w:t>
      </w:r>
    </w:p>
    <w:p>
      <w:pPr>
        <w:spacing w:before="60" w:after="60"/>
      </w:pPr>
    </w:p>
    <w:p>
      <w:pPr>
        <w:pStyle w:val="ListParagraph"/>
        <w:numPr>
          <w:ilvl w:val="0"/>
          <w:numId w:val="3"/>
        </w:numPr>
        <w:spacing w:before="40" w:after="40"/>
      </w:pPr>
      <w:r>
        <w:rPr>
          <w:rFonts w:ascii="Arial" w:cs="Arial" w:eastAsia="Arial" w:hAnsi="Arial"/>
          <w:sz w:val="22"/>
          <w:szCs w:val="22"/>
        </w:rPr>
        <w:t xml:space="preserve">Any removal of devices or media from the inventory list during the in-scope period triggers a verification process.</w:t>
      </w:r>
    </w:p>
    <w:p>
      <w:pPr>
        <w:spacing w:before="60" w:after="60"/>
      </w:pPr>
    </w:p>
    <w:p>
      <w:pPr>
        <w:pStyle w:val="ListParagraph"/>
        <w:numPr>
          <w:ilvl w:val="0"/>
          <w:numId w:val="3"/>
        </w:numPr>
        <w:spacing w:before="40" w:after="40"/>
      </w:pPr>
      <w:r>
        <w:rPr>
          <w:rFonts w:ascii="Arial" w:cs="Arial" w:eastAsia="Arial" w:hAnsi="Arial"/>
          <w:sz w:val="22"/>
          <w:szCs w:val="22"/>
        </w:rPr>
        <w:t xml:space="preserve">Documentation is required to provide evidence of proper removal of electronic Protected Health Information (ePHI). This includes a signed form by the employees responsible for the removal, confirming that ePHI has been appropriately erased.</w:t>
      </w:r>
    </w:p>
    <w:p>
      <w:pPr>
        <w:spacing w:before="60" w:after="60"/>
      </w:pPr>
    </w:p>
    <w:p>
      <w:pPr>
        <w:pStyle w:val="ListParagraph"/>
        <w:numPr>
          <w:ilvl w:val="0"/>
          <w:numId w:val="3"/>
        </w:numPr>
        <w:spacing w:before="40" w:after="40"/>
      </w:pPr>
      <w:r>
        <w:rPr>
          <w:rFonts w:ascii="Arial" w:cs="Arial" w:eastAsia="Arial" w:hAnsi="Arial"/>
          <w:sz w:val="22"/>
          <w:szCs w:val="22"/>
        </w:rPr>
        <w:t xml:space="preserve">Additionally, the training provided to employees responsible for the disposal of electronic media includes best practices for secure removal, ensuring compliance with the above standards and documentation requirements.</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Data Management</w:t>
      </w:r>
    </w:p>
    <w:p>
      <w:pPr>
        <w:spacing w:before="60" w:after="60"/>
      </w:pPr>
    </w:p>
    <w:p>
      <w:pPr>
        <w:spacing w:before="60" w:after="60"/>
      </w:pPr>
      <w:r>
        <w:rPr>
          <w:rFonts w:ascii="Arial" w:cs="Arial" w:eastAsia="Arial" w:hAnsi="Arial"/>
          <w:sz w:val="22"/>
          <w:szCs w:val="22"/>
        </w:rPr>
        <w:t xml:space="preserve">PolicyLift stores and disposes of sensitive data, in a manner that; reasonably safeguards the confidentiality of the data; protects against the unauthorized use or disclosure of the data; and renders the data secure or appropriately destroyed. Data entered into PolicyLift applications must be validated where possible to ensure quality of information processed and to mitigate the impacts of web-based attacks on the systems.</w:t>
      </w:r>
    </w:p>
    <w:p>
      <w:pPr>
        <w:spacing w:before="60" w:after="60"/>
      </w:pPr>
    </w:p>
    <w:p>
      <w:pPr>
        <w:pStyle w:val="Heading2"/>
        <w:spacing w:before="200" w:after="100"/>
      </w:pPr>
      <w:r>
        <w:rPr>
          <w:rFonts w:ascii="Arial" w:cs="Arial" w:eastAsia="Arial" w:hAnsi="Arial"/>
          <w:b/>
          <w:bCs/>
          <w:sz w:val="24"/>
          <w:szCs w:val="24"/>
        </w:rPr>
        <w:t xml:space="preserve">Data Protection</w:t>
      </w:r>
    </w:p>
    <w:p>
      <w:pPr>
        <w:spacing w:before="60" w:after="60"/>
      </w:pPr>
    </w:p>
    <w:p>
      <w:pPr>
        <w:spacing w:before="60" w:after="60"/>
      </w:pPr>
      <w:r>
        <w:rPr>
          <w:rFonts w:ascii="Arial" w:cs="Arial" w:eastAsia="Arial" w:hAnsi="Arial"/>
          <w:sz w:val="22"/>
          <w:szCs w:val="22"/>
        </w:rPr>
        <w:t xml:space="preserve">PolicyLift uses its cloud provider key management service to encrypt data at rest and to store and manage encryption keys. Access to production environment's access keys is restricted to authorized individuals.</w:t>
      </w:r>
    </w:p>
    <w:p>
      <w:pPr>
        <w:spacing w:before="60" w:after="60"/>
      </w:pPr>
    </w:p>
    <w:p>
      <w:pPr>
        <w:pStyle w:val="Heading2"/>
        <w:spacing w:before="200" w:after="100"/>
      </w:pPr>
      <w:r>
        <w:rPr>
          <w:rFonts w:ascii="Arial" w:cs="Arial" w:eastAsia="Arial" w:hAnsi="Arial"/>
          <w:b/>
          <w:bCs/>
          <w:sz w:val="24"/>
          <w:szCs w:val="24"/>
        </w:rPr>
        <w:t xml:space="preserve">Data Transmission</w:t>
      </w:r>
    </w:p>
    <w:p>
      <w:pPr>
        <w:spacing w:before="60" w:after="60"/>
      </w:pPr>
    </w:p>
    <w:p>
      <w:pPr>
        <w:spacing w:before="60" w:after="60"/>
      </w:pPr>
      <w:r>
        <w:rPr>
          <w:rFonts w:ascii="Arial" w:cs="Arial" w:eastAsia="Arial" w:hAnsi="Arial"/>
          <w:sz w:val="22"/>
          <w:szCs w:val="22"/>
        </w:rPr>
        <w:t xml:space="preserve">Encryption technologies are used to protect communication and transmission of data over public networks.</w:t>
      </w:r>
    </w:p>
    <w:p>
      <w:pPr>
        <w:spacing w:before="60" w:after="60"/>
      </w:pPr>
    </w:p>
    <w:p>
      <w:pPr>
        <w:spacing w:before="60" w:after="60"/>
      </w:pPr>
      <w:r>
        <w:rPr>
          <w:rFonts w:ascii="Arial" w:cs="Arial" w:eastAsia="Arial" w:hAnsi="Arial"/>
          <w:sz w:val="22"/>
          <w:szCs w:val="22"/>
        </w:rPr>
        <w:t xml:space="preserve">Also, the organization uses DLP (Data Loss Prevention) software to prevent sensitive information from being transmitted over email.</w:t>
      </w:r>
    </w:p>
    <w:p>
      <w:pPr>
        <w:spacing w:before="60" w:after="60"/>
      </w:pPr>
    </w:p>
    <w:p>
      <w:pPr>
        <w:pStyle w:val="Heading2"/>
        <w:spacing w:before="200" w:after="100"/>
      </w:pPr>
      <w:r>
        <w:rPr>
          <w:rFonts w:ascii="Arial" w:cs="Arial" w:eastAsia="Arial" w:hAnsi="Arial"/>
          <w:b/>
          <w:bCs/>
          <w:sz w:val="24"/>
          <w:szCs w:val="24"/>
        </w:rPr>
        <w:t xml:space="preserve">Data Classification</w:t>
      </w:r>
    </w:p>
    <w:p>
      <w:pPr>
        <w:spacing w:before="60" w:after="60"/>
      </w:pPr>
    </w:p>
    <w:p>
      <w:pPr>
        <w:spacing w:before="60" w:after="60"/>
      </w:pPr>
      <w:r>
        <w:rPr>
          <w:rFonts w:ascii="Arial" w:cs="Arial" w:eastAsia="Arial" w:hAnsi="Arial"/>
          <w:sz w:val="22"/>
          <w:szCs w:val="22"/>
        </w:rPr>
        <w:t xml:space="preserve">PolicyLift defines the handling and classification of data in the Data Classification Policy.</w:t>
      </w:r>
    </w:p>
    <w:p>
      <w:pPr>
        <w:spacing w:before="60" w:after="60"/>
      </w:pPr>
    </w:p>
    <w:p>
      <w:pPr>
        <w:pStyle w:val="Heading2"/>
        <w:spacing w:before="200" w:after="100"/>
      </w:pPr>
      <w:r>
        <w:rPr>
          <w:rFonts w:ascii="Arial" w:cs="Arial" w:eastAsia="Arial" w:hAnsi="Arial"/>
          <w:b/>
          <w:bCs/>
          <w:sz w:val="24"/>
          <w:szCs w:val="24"/>
        </w:rPr>
        <w:t xml:space="preserve">Anti Virus and Anti Malware</w:t>
      </w:r>
    </w:p>
    <w:p>
      <w:pPr>
        <w:spacing w:before="60" w:after="60"/>
      </w:pPr>
    </w:p>
    <w:p>
      <w:pPr>
        <w:spacing w:before="60" w:after="60"/>
      </w:pPr>
      <w:r>
        <w:rPr>
          <w:rFonts w:ascii="Arial" w:cs="Arial" w:eastAsia="Arial" w:hAnsi="Arial"/>
          <w:sz w:val="22"/>
          <w:szCs w:val="22"/>
        </w:rPr>
        <w:t xml:space="preserve">Anti-virus and Malware protection software must be installed and configured on all production servers to prevent or detect and act upon the introduction of unauthorized or malicious software. The Anti-virus should be configured to automatically scan on a continuous basis.</w:t>
      </w:r>
    </w:p>
    <w:p>
      <w:pPr>
        <w:spacing w:before="60" w:after="60"/>
      </w:pPr>
    </w:p>
    <w:p>
      <w:pPr>
        <w:spacing w:before="60" w:after="60"/>
      </w:pPr>
      <w:r>
        <w:rPr>
          <w:rFonts w:ascii="Arial" w:cs="Arial" w:eastAsia="Arial" w:hAnsi="Arial"/>
          <w:sz w:val="22"/>
          <w:szCs w:val="22"/>
        </w:rPr>
        <w:t xml:space="preserve">For production servers, the Anti-virus definitions should be updated on a weekly basis.</w:t>
      </w:r>
    </w:p>
    <w:p>
      <w:pPr>
        <w:spacing w:before="60" w:after="60"/>
      </w:pPr>
    </w:p>
    <w:p>
      <w:pPr>
        <w:pStyle w:val="Heading2"/>
        <w:spacing w:before="200" w:after="100"/>
      </w:pPr>
      <w:r>
        <w:rPr>
          <w:rFonts w:ascii="Arial" w:cs="Arial" w:eastAsia="Arial" w:hAnsi="Arial"/>
          <w:b/>
          <w:bCs/>
          <w:sz w:val="24"/>
          <w:szCs w:val="24"/>
        </w:rPr>
        <w:t xml:space="preserve">Vulnerability and Patch Management</w:t>
      </w:r>
    </w:p>
    <w:p>
      <w:pPr>
        <w:spacing w:before="60" w:after="60"/>
      </w:pPr>
    </w:p>
    <w:p>
      <w:pPr>
        <w:spacing w:before="60" w:after="60"/>
      </w:pPr>
      <w:commentRangeStart w:id="8"/>
      <w:r>
        <w:rPr>
          <w:rFonts w:ascii="Arial" w:cs="Arial" w:eastAsia="Arial" w:hAnsi="Arial"/>
          <w:sz w:val="22"/>
          <w:szCs w:val="22"/>
        </w:rPr>
        <w:t xml:space="preserve">PolicyLift uses a proactive vulnerability and patch management process that prioritizes and implements patches based on classification. Such classification may include whether the severity is security-related or based on other additional factors. PolicyLift uses an automated tool to perform vulnerability assessment on infrastructure and applications. Vulnerability scans are performed monthly with the scan frequency adjusted, as required, to meet ongoing and changing commitments and requirements.</w:t>
      </w:r>
      <w:commentRangeEnd w:id="8"/>
      <w:r>
        <w:rPr>
          <w:rStyle w:val="CommentReference"/>
        </w:rPr>
        <w:commentReference w:id="8"/>
      </w:r>
    </w:p>
    <w:p>
      <w:pPr>
        <w:spacing w:before="60" w:after="60"/>
      </w:pPr>
    </w:p>
    <w:p>
      <w:pPr>
        <w:spacing w:before="60" w:after="60"/>
      </w:pPr>
      <w:r>
        <w:rPr>
          <w:rFonts w:ascii="Arial" w:cs="Arial" w:eastAsia="Arial" w:hAnsi="Arial"/>
          <w:sz w:val="22"/>
          <w:szCs w:val="22"/>
        </w:rPr>
        <w:t xml:space="preserve">Vulnerability management must include systematic identification, assessment, and remediation of security vulnerabilities, with prioritization based on risk level and potential impact to information security.</w:t>
      </w:r>
    </w:p>
    <w:p>
      <w:pPr>
        <w:spacing w:before="60" w:after="60"/>
      </w:pPr>
    </w:p>
    <w:p>
      <w:pPr>
        <w:spacing w:before="60" w:after="60"/>
      </w:pPr>
      <w:r>
        <w:rPr>
          <w:rFonts w:ascii="Arial" w:cs="Arial" w:eastAsia="Arial" w:hAnsi="Arial"/>
          <w:sz w:val="22"/>
          <w:szCs w:val="22"/>
        </w:rPr>
        <w:t xml:space="preserve">The IT and Engineering department review the vulnerabilities and takes necessary actions on vulnerabilities identified as high and critical.</w:t>
      </w:r>
    </w:p>
    <w:p>
      <w:pPr>
        <w:spacing w:before="60" w:after="60"/>
      </w:pPr>
    </w:p>
    <w:p>
      <w:pPr>
        <w:spacing w:before="60" w:after="60"/>
      </w:pPr>
      <w:r>
        <w:rPr>
          <w:rFonts w:ascii="Arial" w:cs="Arial" w:eastAsia="Arial" w:hAnsi="Arial"/>
          <w:sz w:val="22"/>
          <w:szCs w:val="22"/>
        </w:rPr>
        <w:t xml:space="preserve">A remediation plan is developed, and changes are implemented to remediate critical and high vulnerabilities at a minimum.</w:t>
      </w:r>
    </w:p>
    <w:p>
      <w:pPr>
        <w:spacing w:before="60" w:after="60"/>
      </w:pPr>
    </w:p>
    <w:p>
      <w:pPr>
        <w:spacing w:before="60" w:after="60"/>
      </w:pPr>
      <w:r>
        <w:rPr>
          <w:rFonts w:ascii="Arial" w:cs="Arial" w:eastAsia="Arial" w:hAnsi="Arial"/>
          <w:sz w:val="22"/>
          <w:szCs w:val="22"/>
        </w:rPr>
        <w:t xml:space="preserve">The resolution of such vulnerabilities follows the incident response plan.</w:t>
      </w:r>
    </w:p>
    <w:p>
      <w:pPr>
        <w:spacing w:before="60" w:after="60"/>
      </w:pPr>
    </w:p>
    <w:p>
      <w:pPr>
        <w:spacing w:before="60" w:after="60"/>
      </w:pPr>
      <w:r>
        <w:rPr>
          <w:rFonts w:ascii="Arial" w:cs="Arial" w:eastAsia="Arial" w:hAnsi="Arial"/>
          <w:sz w:val="22"/>
          <w:szCs w:val="22"/>
        </w:rPr>
        <w:t xml:space="preserve">A patch management process exists to confirm that operating system level vulnerabilities must be remediated in a timely manner. In addition, production servers must be scanned to test patch compliance on an ongoing basis.</w:t>
      </w:r>
    </w:p>
    <w:p>
      <w:pPr>
        <w:spacing w:before="60" w:after="60"/>
      </w:pPr>
    </w:p>
    <w:p>
      <w:pPr>
        <w:spacing w:before="60" w:after="60"/>
      </w:pPr>
      <w:commentRangeStart w:id="9"/>
      <w:r>
        <w:rPr>
          <w:rFonts w:ascii="Arial" w:cs="Arial" w:eastAsia="Arial" w:hAnsi="Arial"/>
          <w:sz w:val="22"/>
          <w:szCs w:val="22"/>
        </w:rPr>
        <w:t xml:space="preserve">IT leadership team on a monthly basis makes assessments on the patches and approves for implementation to ensure critical patches must be updated on a timely basis.</w:t>
      </w:r>
      <w:commentRangeEnd w:id="9"/>
      <w:r>
        <w:rPr>
          <w:rStyle w:val="CommentReference"/>
        </w:rPr>
        <w:commentReference w:id="9"/>
      </w:r>
    </w:p>
    <w:p>
      <w:pPr>
        <w:spacing w:before="60" w:after="60"/>
      </w:pPr>
    </w:p>
    <w:p>
      <w:pPr>
        <w:pStyle w:val="Heading2"/>
        <w:spacing w:before="200" w:after="100"/>
      </w:pPr>
      <w:r>
        <w:rPr>
          <w:rFonts w:ascii="Arial" w:cs="Arial" w:eastAsia="Arial" w:hAnsi="Arial"/>
          <w:b/>
          <w:bCs/>
          <w:sz w:val="24"/>
          <w:szCs w:val="24"/>
        </w:rPr>
        <w:t xml:space="preserve">Change and Development Management</w:t>
      </w:r>
    </w:p>
    <w:p>
      <w:pPr>
        <w:spacing w:before="60" w:after="60"/>
      </w:pPr>
    </w:p>
    <w:p>
      <w:pPr>
        <w:spacing w:before="60" w:after="60"/>
      </w:pPr>
      <w:commentRangeStart w:id="11"/>
      <w:r>
        <w:rPr>
          <w:rFonts w:ascii="Arial" w:cs="Arial" w:eastAsia="Arial" w:hAnsi="Arial"/>
          <w:sz w:val="22"/>
          <w:szCs w:val="22"/>
        </w:rPr>
        <w:t xml:space="preserve">To protect against unauthorized changes and the introduction of malicious code, PolicyLift maintains a Change Management Policy with change management procedures that address the types of changes, required documentation, required review and/or approvals, and emergency changes. Changes to PolicyLift production infrastructure, systems, and applications must be documented, tested, and approved before deployment.</w:t>
      </w:r>
      <w:commentRangeEnd w:id="11"/>
      <w:r>
        <w:rPr>
          <w:rStyle w:val="CommentReference"/>
        </w:rPr>
        <w:commentReference w:id="11"/>
      </w:r>
    </w:p>
    <w:p>
      <w:pPr>
        <w:spacing w:before="60" w:after="60"/>
      </w:pPr>
    </w:p>
    <w:p>
      <w:pPr>
        <w:spacing w:before="60" w:after="60"/>
      </w:pPr>
      <w:r>
        <w:rPr>
          <w:rFonts w:ascii="Arial" w:cs="Arial" w:eastAsia="Arial" w:hAnsi="Arial"/>
          <w:sz w:val="22"/>
          <w:szCs w:val="22"/>
        </w:rPr>
        <w:t xml:space="preserve">### Environment Separation</w:t>
      </w:r>
    </w:p>
    <w:p>
      <w:pPr>
        <w:spacing w:before="60" w:after="60"/>
      </w:pPr>
    </w:p>
    <w:p>
      <w:pPr>
        <w:spacing w:before="60" w:after="60"/>
      </w:pPr>
      <w:r>
        <w:rPr>
          <w:rFonts w:ascii="Arial" w:cs="Arial" w:eastAsia="Arial" w:hAnsi="Arial"/>
          <w:sz w:val="22"/>
          <w:szCs w:val="22"/>
        </w:rPr>
        <w:t xml:space="preserve">As necessary, PolicyLift maintains requirements and controls for the separation of development and production environments.</w:t>
      </w:r>
    </w:p>
    <w:p>
      <w:pPr>
        <w:spacing w:before="60" w:after="60"/>
      </w:pPr>
    </w:p>
    <w:p>
      <w:pPr>
        <w:spacing w:before="60" w:after="60"/>
      </w:pPr>
      <w:r>
        <w:rPr>
          <w:rFonts w:ascii="Arial" w:cs="Arial" w:eastAsia="Arial" w:hAnsi="Arial"/>
          <w:sz w:val="22"/>
          <w:szCs w:val="22"/>
        </w:rPr>
        <w:t xml:space="preserve">### Source Code</w:t>
      </w:r>
    </w:p>
    <w:p>
      <w:pPr>
        <w:spacing w:before="60" w:after="60"/>
      </w:pPr>
    </w:p>
    <w:p>
      <w:pPr>
        <w:spacing w:before="60" w:after="60"/>
      </w:pPr>
      <w:r>
        <w:rPr>
          <w:rFonts w:ascii="Arial" w:cs="Arial" w:eastAsia="Arial" w:hAnsi="Arial"/>
          <w:sz w:val="22"/>
          <w:szCs w:val="22"/>
        </w:rPr>
        <w:t xml:space="preserve">PolicyLift controlled directories or repositories containing source code are secured from unauthorized access.</w:t>
      </w:r>
    </w:p>
    <w:p>
      <w:pPr>
        <w:spacing w:before="60" w:after="60"/>
      </w:pPr>
    </w:p>
    <w:p>
      <w:pPr>
        <w:pStyle w:val="Heading2"/>
        <w:spacing w:before="200" w:after="100"/>
      </w:pPr>
      <w:r>
        <w:rPr>
          <w:rFonts w:ascii="Arial" w:cs="Arial" w:eastAsia="Arial" w:hAnsi="Arial"/>
          <w:b/>
          <w:bCs/>
          <w:sz w:val="24"/>
          <w:szCs w:val="24"/>
        </w:rPr>
        <w:t xml:space="preserve">Logging and Monitoring</w:t>
      </w:r>
    </w:p>
    <w:p>
      <w:pPr>
        <w:spacing w:before="60" w:after="60"/>
      </w:pPr>
    </w:p>
    <w:p>
      <w:pPr>
        <w:spacing w:before="60" w:after="60"/>
      </w:pPr>
      <w:r>
        <w:rPr>
          <w:rFonts w:ascii="Arial" w:cs="Arial" w:eastAsia="Arial" w:hAnsi="Arial"/>
          <w:sz w:val="22"/>
          <w:szCs w:val="22"/>
        </w:rPr>
        <w:t xml:space="preserve">PolicyLift collects &amp; monitors audit logs and alerts on key events stemming from production systems, applications, databases, servers, message queues, load balancers, and critical services, as well as IAM user and admin activities. IT team continuously monitors system capacity and performance through the use of monitoring tools to identify and detect anomalies that could compromise availability of the system operations.</w:t>
      </w:r>
    </w:p>
    <w:p>
      <w:pPr>
        <w:spacing w:before="60" w:after="60"/>
      </w:pPr>
    </w:p>
    <w:p>
      <w:pPr>
        <w:spacing w:before="60" w:after="60"/>
      </w:pPr>
      <w:commentRangeStart w:id="13"/>
      <w:r>
        <w:rPr>
          <w:rFonts w:ascii="Arial" w:cs="Arial" w:eastAsia="Arial" w:hAnsi="Arial"/>
          <w:sz w:val="22"/>
          <w:szCs w:val="22"/>
        </w:rPr>
        <w:t xml:space="preserve">Logging should be enabled to monitor activities such as administrative activities, logon attempts, data deletions at the application and infrastructure level, changes to functions, security configurations, permissions, and roles. Logs must be securely stored and archived for a minimum of 1 year to assist with potential forensic efforts.</w:t>
      </w:r>
      <w:commentRangeEnd w:id="13"/>
      <w:r>
        <w:rPr>
          <w:rStyle w:val="CommentReference"/>
        </w:rPr>
        <w:commentReference w:id="13"/>
      </w:r>
    </w:p>
    <w:p>
      <w:pPr>
        <w:spacing w:before="60" w:after="60"/>
      </w:pPr>
    </w:p>
    <w:p>
      <w:pPr>
        <w:spacing w:before="60" w:after="60"/>
      </w:pPr>
      <w:r>
        <w:rPr>
          <w:rFonts w:ascii="Arial" w:cs="Arial" w:eastAsia="Arial" w:hAnsi="Arial"/>
          <w:sz w:val="22"/>
          <w:szCs w:val="22"/>
        </w:rPr>
        <w:t xml:space="preserve">Logs are made available to relevant team members for troubleshooting, auditing, and capacity planning activities. System and user activity logs may be utilized to assess the causes of incidents and problems. PolicyLift utilizes access control to prevent unauthorized access, deletion, or tampering of logging facilities and log information.</w:t>
      </w:r>
    </w:p>
    <w:p>
      <w:pPr>
        <w:spacing w:before="60" w:after="60"/>
      </w:pPr>
    </w:p>
    <w:p>
      <w:pPr>
        <w:spacing w:before="60" w:after="60"/>
      </w:pPr>
      <w:r>
        <w:rPr>
          <w:rFonts w:ascii="Arial" w:cs="Arial" w:eastAsia="Arial" w:hAnsi="Arial"/>
          <w:sz w:val="22"/>
          <w:szCs w:val="22"/>
        </w:rPr>
        <w:t xml:space="preserve">Additionally, the monitoring tool generates alerts when specific predefined thresholds are met. PolicyLift correlates these events and alerts across all sources to identify root causes and formally declare incidents, as necessary, in accordance with the Security Incident Response Policy and Change Management Policy.</w:t>
      </w:r>
    </w:p>
    <w:p>
      <w:pPr>
        <w:spacing w:before="60" w:after="60"/>
      </w:pPr>
    </w:p>
    <w:p>
      <w:pPr>
        <w:pStyle w:val="Heading2"/>
        <w:spacing w:before="200" w:after="100"/>
      </w:pPr>
      <w:r>
        <w:rPr>
          <w:rFonts w:ascii="Arial" w:cs="Arial" w:eastAsia="Arial" w:hAnsi="Arial"/>
          <w:b/>
          <w:bCs/>
          <w:sz w:val="24"/>
          <w:szCs w:val="24"/>
        </w:rPr>
        <w:t xml:space="preserve">Security Incident Response</w:t>
      </w:r>
    </w:p>
    <w:p>
      <w:pPr>
        <w:spacing w:before="60" w:after="60"/>
      </w:pPr>
    </w:p>
    <w:p>
      <w:pPr>
        <w:spacing w:before="60" w:after="60"/>
      </w:pPr>
      <w:r>
        <w:rPr>
          <w:rFonts w:ascii="Arial" w:cs="Arial" w:eastAsia="Arial" w:hAnsi="Arial"/>
          <w:sz w:val="22"/>
          <w:szCs w:val="22"/>
        </w:rPr>
        <w:t xml:space="preserve">PolicyLift maintains a plan that defines responsibilities, detection, and corrective actions during a security incident. The plan will be executed following the discovery of an incident such as system compromise, or unintended/unauthorized acquisition, access, use or release of non-public information. The plan is tested, reviewed and updated at least annually. Incident response procedures must ensure timely detection, effective response, and proper handling of security incidents while maintaining communication with affected parties and documenting lessons learned.</w:t>
      </w:r>
    </w:p>
    <w:p>
      <w:pPr>
        <w:spacing w:before="60" w:after="60"/>
      </w:pPr>
    </w:p>
    <w:p>
      <w:pPr>
        <w:spacing w:before="60" w:after="60"/>
      </w:pPr>
      <w:r>
        <w:rPr>
          <w:rFonts w:ascii="Arial" w:cs="Arial" w:eastAsia="Arial" w:hAnsi="Arial"/>
          <w:sz w:val="22"/>
          <w:szCs w:val="22"/>
        </w:rPr>
        <w:t xml:space="preserve">PolicyLift utilizes various monitoring and surveillance tools to detect security threats and incidents. Early detection and response can mitigate damages and minimize further risk to PolicyLift.</w:t>
      </w:r>
    </w:p>
    <w:p>
      <w:pPr>
        <w:spacing w:before="60" w:after="60"/>
      </w:pPr>
    </w:p>
    <w:p>
      <w:pPr>
        <w:spacing w:before="60" w:after="60"/>
      </w:pPr>
      <w:r>
        <w:rPr>
          <w:rFonts w:ascii="Arial" w:cs="Arial" w:eastAsia="Arial" w:hAnsi="Arial"/>
          <w:sz w:val="22"/>
          <w:szCs w:val="22"/>
        </w:rPr>
        <w:t xml:space="preserve">A message should be sent to [Company Website] if you believe there may be a security incident or threat.</w:t>
      </w:r>
    </w:p>
    <w:p>
      <w:pPr>
        <w:spacing w:before="60" w:after="60"/>
      </w:pPr>
    </w:p>
    <w:p>
      <w:pPr>
        <w:pStyle w:val="Heading2"/>
        <w:spacing w:before="200" w:after="100"/>
      </w:pPr>
      <w:r>
        <w:rPr>
          <w:rFonts w:ascii="Arial" w:cs="Arial" w:eastAsia="Arial" w:hAnsi="Arial"/>
          <w:b/>
          <w:bCs/>
          <w:sz w:val="24"/>
          <w:szCs w:val="24"/>
        </w:rPr>
        <w:t xml:space="preserve">Risk Management</w:t>
      </w:r>
    </w:p>
    <w:p>
      <w:pPr>
        <w:spacing w:before="60" w:after="60"/>
      </w:pPr>
    </w:p>
    <w:p>
      <w:pPr>
        <w:spacing w:before="60" w:after="60"/>
      </w:pPr>
      <w:r>
        <w:rPr>
          <w:rFonts w:ascii="Arial" w:cs="Arial" w:eastAsia="Arial" w:hAnsi="Arial"/>
          <w:sz w:val="22"/>
          <w:szCs w:val="22"/>
        </w:rPr>
        <w:t xml:space="preserve">PolicyLift requires a risk assessment to be performed at least annually. For risks identified during the process, PolicyLift must classify the risks and develop action plans to mitigate discovered risks.</w:t>
      </w:r>
    </w:p>
    <w:p>
      <w:pPr>
        <w:spacing w:before="60" w:after="60"/>
      </w:pPr>
    </w:p>
    <w:p>
      <w:pPr>
        <w:pStyle w:val="Heading2"/>
        <w:spacing w:before="200" w:after="100"/>
      </w:pPr>
      <w:r>
        <w:rPr>
          <w:rFonts w:ascii="Arial" w:cs="Arial" w:eastAsia="Arial" w:hAnsi="Arial"/>
          <w:b/>
          <w:bCs/>
          <w:sz w:val="24"/>
          <w:szCs w:val="24"/>
        </w:rPr>
        <w:t xml:space="preserve">Vendor Management</w:t>
      </w:r>
    </w:p>
    <w:p>
      <w:pPr>
        <w:spacing w:before="60" w:after="60"/>
      </w:pPr>
    </w:p>
    <w:p>
      <w:pPr>
        <w:spacing w:before="60" w:after="60"/>
      </w:pPr>
      <w:commentRangeStart w:id="15"/>
      <w:r>
        <w:rPr>
          <w:rFonts w:ascii="Arial" w:cs="Arial" w:eastAsia="Arial" w:hAnsi="Arial"/>
          <w:sz w:val="22"/>
          <w:szCs w:val="22"/>
        </w:rPr>
        <w:t xml:space="preserve">PolicyLift requires a vendor security assessment before third party products or services are used confirming the provider can maintain appropriate security and privacy controls. The review may include gathering applicable compliance audits (SOC 1, SOC 2, PCI DSS, HITRUST, ISO27001, etc.) or other security compliance evidence. Agreements will be updated and amended as necessary when business, laws, and regulatory requirements change.</w:t>
      </w:r>
      <w:commentRangeEnd w:id="15"/>
      <w:r>
        <w:rPr>
          <w:rStyle w:val="CommentReference"/>
        </w:rPr>
        <w:commentReference w:id="15"/>
      </w:r>
    </w:p>
    <w:p>
      <w:pPr>
        <w:spacing w:before="60" w:after="60"/>
      </w:pPr>
    </w:p>
    <w:p>
      <w:pPr>
        <w:pStyle w:val="Heading2"/>
        <w:spacing w:before="200" w:after="100"/>
      </w:pPr>
      <w:r>
        <w:rPr>
          <w:rFonts w:ascii="Arial" w:cs="Arial" w:eastAsia="Arial" w:hAnsi="Arial"/>
          <w:b/>
          <w:bCs/>
          <w:sz w:val="24"/>
          <w:szCs w:val="24"/>
        </w:rPr>
        <w:t xml:space="preserve">Non-Compliance</w:t>
      </w:r>
    </w:p>
    <w:p>
      <w:pPr>
        <w:spacing w:before="60" w:after="60"/>
      </w:pPr>
    </w:p>
    <w:p>
      <w:pPr>
        <w:spacing w:before="60" w:after="60"/>
      </w:pPr>
      <w:commentRangeStart w:id="18"/>
      <w:r>
        <w:rPr>
          <w:rFonts w:ascii="Arial" w:cs="Arial" w:eastAsia="Arial" w:hAnsi="Arial"/>
          <w:sz w:val="22"/>
          <w:szCs w:val="22"/>
        </w:rPr>
        <w:t xml:space="preserve">Any violation of this policy or any other PolicyLift policy or procedure may result in disciplinary action, up to and including termination of employment. PolicyLift reserves the right to notify the appropriate law enforcement authorities of any unlawful activity and to cooperate in any investigation of such activity. PolicyLift does not consider conduct in violation of this policy to be within an employee's or contractor's course and scope of work.</w:t>
      </w:r>
      <w:commentRangeEnd w:id="18"/>
      <w:r>
        <w:rPr>
          <w:rStyle w:val="CommentReference"/>
        </w:rPr>
        <w:commentReference w:id="18"/>
      </w:r>
    </w:p>
    <w:p>
      <w:pPr>
        <w:spacing w:before="60" w:after="60"/>
      </w:pPr>
    </w:p>
    <w:p>
      <w:pPr>
        <w:spacing w:before="60" w:after="60"/>
      </w:pPr>
      <w:r>
        <w:rPr>
          <w:rFonts w:ascii="Arial" w:cs="Arial" w:eastAsia="Arial" w:hAnsi="Arial"/>
          <w:sz w:val="22"/>
          <w:szCs w:val="22"/>
        </w:rPr>
        <w:t xml:space="preserve">Any employee or contractor who is requested to undertake an activity that he or she believes is in violation of this policy must provide a written or verbal complaint to his or her manager or any other manager of PolicyLift as soon as possible.</w:t>
      </w:r>
    </w:p>
    <w:p>
      <w:pPr>
        <w:spacing w:before="60" w:after="60"/>
      </w:pPr>
    </w:p>
    <w:p>
      <w:pPr>
        <w:spacing w:before="60" w:after="60"/>
      </w:pPr>
      <w:r>
        <w:rPr>
          <w:rFonts w:ascii="Arial" w:cs="Arial" w:eastAsia="Arial" w:hAnsi="Arial"/>
          <w:sz w:val="22"/>
          <w:szCs w:val="22"/>
        </w:rPr>
        <w:t xml:space="preserve">The disciplinary process should also be used as a deterrent to prevent employees and contractors from violating organizational security policies and procedures, and any other security breaches.</w:t>
      </w:r>
    </w:p>
    <w:p>
      <w:pPr>
        <w:spacing w:before="60" w:after="60"/>
      </w:pPr>
    </w:p>
    <w:p>
      <w:pPr>
        <w:pStyle w:val="Heading2"/>
        <w:spacing w:before="200" w:after="100"/>
      </w:pPr>
      <w:r>
        <w:rPr>
          <w:rFonts w:ascii="Arial" w:cs="Arial" w:eastAsia="Arial" w:hAnsi="Arial"/>
          <w:b/>
          <w:bCs/>
          <w:sz w:val="24"/>
          <w:szCs w:val="24"/>
        </w:rPr>
        <w:t xml:space="preserve">Review and Update</w:t>
      </w:r>
    </w:p>
    <w:p>
      <w:pPr>
        <w:spacing w:before="60" w:after="60"/>
      </w:pPr>
    </w:p>
    <w:p>
      <w:pPr>
        <w:spacing w:before="60" w:after="60"/>
      </w:pPr>
      <w:commentRangeStart w:id="16"/>
      <w:r>
        <w:rPr>
          <w:rFonts w:ascii="Arial" w:cs="Arial" w:eastAsia="Arial" w:hAnsi="Arial"/>
          <w:sz w:val="22"/>
          <w:szCs w:val="22"/>
        </w:rPr>
        <w:t xml:space="preserve">PolicyLift reviews and updates its security policies and plans to maintain organizational security objectives and meet regulatory requirements at least annually. The results are shared with appropriate parties internally and findings are tracked to resolution. Any changes are communicated across the organization.</w:t>
      </w:r>
      <w:commentRangeEnd w:id="16"/>
      <w:r>
        <w:rPr>
          <w:rStyle w:val="CommentReference"/>
        </w:rPr>
        <w:commentReference w:id="16"/>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42Z" w:initials="PR">
    <w:p w14:paraId="17F53EBC" w14:textId="77777777">
      <w:r>
        <w:rPr>
          <w:rStyle w:val="CommentReference"/>
        </w:rPr>
        <w:annotationRef/>
      </w:r>
      <w:r>
        <w:rPr>
          <w:color w:val="000000"/>
          <w:sz w:val="20"/>
          <w:szCs w:val="20"/>
        </w:rPr>
        <w:t>COMMITMENT — Annual Policy Acknowledgment
What this says: All personnel must read, accept, and follow policies upon starting and at least annually thereafter.
Why it matters: SOC 2 requires evidence that personnel understand security responsibilities. This is a formal commitment that applies to all 9 staff plus 4 offshore devs.
Recommendation: Create a mandatory annual policy sign-off process (e.g., form with date and signature). Store signed acknowledgments in a central location. Include offshore devs in the annual acknowledgment cycle. Track completion rates.</w:t>
      </w:r>
    </w:p>
  </w:comment>
  <w:comment w:id="1" w:author="PolicyLift Reviewer" w:date="2026-02-10T01:43:42Z" w:initials="PR">
    <w:p w14:paraId="5072C038" w14:textId="77777777">
      <w:r>
        <w:rPr>
          <w:rStyle w:val="CommentReference"/>
        </w:rPr>
        <w:annotationRef/>
      </w:r>
      <w:r>
        <w:rPr>
          <w:color w:val="000000"/>
          <w:sz w:val="20"/>
          <w:szCs w:val="20"/>
        </w:rPr>
        <w:t>ROLE — Policy Modification Authority
What this says: CTO, COO, or Board may modify or approve policy changes. Records of changes must be reviewed by Board.
Why it matters: PolicyLift needs clear change control for security policies. Without this, policies can drift without oversight.
Recommendation: Establish a policy change log with: date, change description, who approved, Board review date. Require Board review within 30 days of any significant change. Share policy updates with all staff within 1 week.</w:t>
      </w:r>
    </w:p>
  </w:comment>
  <w:comment w:id="2" w:author="PolicyLift Reviewer" w:date="2026-02-10T01:43:42Z" w:initials="PR">
    <w:p w14:paraId="0E7F2FE0" w14:textId="77777777">
      <w:r>
        <w:rPr>
          <w:rStyle w:val="CommentReference"/>
        </w:rPr>
        <w:annotationRef/>
      </w:r>
      <w:r>
        <w:rPr>
          <w:color w:val="000000"/>
          <w:sz w:val="20"/>
          <w:szCs w:val="20"/>
        </w:rPr>
        <w:t>COMMITMENT — Background Checks for All Personnel
What this says: New employees and contractors must complete background checks before joining. An authorized member must review each check per local law.
Why it matters: PolicyLift has 4 offshore devs via agency. It’s unclear if agency contractors completed background checks or if PolicyLift verified them.
Recommendation: Confirm background checks for all current staff. Require documentation from the offshore agency confirming background checks were completed per their jurisdiction. For future hires, document the review and approval in the personnel file.</w:t>
      </w:r>
    </w:p>
  </w:comment>
  <w:comment w:id="3" w:author="PolicyLift Reviewer" w:date="2026-02-10T01:43:42Z" w:initials="PR">
    <w:p w14:paraId="15AD92E0" w14:textId="77777777">
      <w:r>
        <w:rPr>
          <w:rStyle w:val="CommentReference"/>
        </w:rPr>
        <w:annotationRef/>
      </w:r>
      <w:r>
        <w:rPr>
          <w:color w:val="000000"/>
          <w:sz w:val="20"/>
          <w:szCs w:val="20"/>
        </w:rPr>
        <w:t>COMMITMENT — Confidentiality Agreements Required Before Access
What this says: Before accessing sensitive data, personnel must sign confidentiality agreements protecting PolicyLift’s confidential information.
Why it matters: SOC 2 requires evidence that personnel are bound by confidentiality. This is especially critical for 4 offshore devs who will access Supabase customer data.
Recommendation: Maintain a list of all personnel with confidentiality agreements on file. For offshore devs, confirm the agency has them sign agreements (or PolicyLift signs directly). Store agreements in a secure location. Include reinstatement language requiring confidentiality after employment ends.</w:t>
      </w:r>
    </w:p>
  </w:comment>
  <w:comment w:id="4" w:author="PolicyLift Reviewer" w:date="2026-02-10T01:43:42Z" w:initials="PR">
    <w:p w14:paraId="36CB9503" w14:textId="77777777">
      <w:r>
        <w:rPr>
          <w:rStyle w:val="CommentReference"/>
        </w:rPr>
        <w:annotationRef/>
      </w:r>
      <w:r>
        <w:rPr>
          <w:color w:val="000000"/>
          <w:sz w:val="20"/>
          <w:szCs w:val="20"/>
        </w:rPr>
        <w:t>RECURRING — Security Awareness Training and Assessment
What this says: Security training must cover general awareness, role-specific requirements, and emerging threats. Effectiveness must be regularly assessed and documented.
Why it matters: SOC 2 auditors expect evidence of training completion and assessment. With 4 offshore devs, PolicyLift needs to ensure training reaches the entire team.
Recommendation: Conduct annual mandatory security training for all staff (in-person or online with attestation). Create role-specific modules (e.g., ’Data handling for developers’). Document attendance, completion dates, and any assessments. For offshore team, ensure materials are in English and accessible.</w:t>
      </w:r>
    </w:p>
  </w:comment>
  <w:comment w:id="5" w:author="PolicyLift Reviewer" w:date="2026-02-10T01:43:42Z" w:initials="PR">
    <w:p w14:paraId="7D6A0EAF" w14:textId="77777777">
      <w:r>
        <w:rPr>
          <w:rStyle w:val="CommentReference"/>
        </w:rPr>
        <w:annotationRef/>
      </w:r>
      <w:r>
        <w:rPr>
          <w:color w:val="000000"/>
          <w:sz w:val="20"/>
          <w:szCs w:val="20"/>
        </w:rPr>
        <w:t>PROCESS — Regular Access and Privilege Audits
What this says: Access audits are performed regularly and reviewed by authorized personnel.
Why it matters: SOC 2 requires evidence of periodic access reviews to ensure least privilege is maintained. With 4 offshore devs, access must be audited to ensure they only have necessary permissions.
Recommendation: Conduct access reviews quarterly at minimum. Create an access audit template: who has access, what they can do, business justification, approval date. For offshore devs, verify access is limited to their assigned projects. Document findings and any access removals.</w:t>
      </w:r>
    </w:p>
  </w:comment>
  <w:comment w:id="6" w:author="PolicyLift Reviewer" w:date="2026-02-10T01:43:42Z" w:initials="PR">
    <w:p w14:paraId="7556C05B" w14:textId="77777777">
      <w:r>
        <w:rPr>
          <w:rStyle w:val="CommentReference"/>
        </w:rPr>
        <w:annotationRef/>
      </w:r>
      <w:r>
        <w:rPr>
          <w:color w:val="000000"/>
          <w:sz w:val="20"/>
          <w:szCs w:val="20"/>
        </w:rPr>
        <w:t>RECURRING — Annual Asset Inventory Review
What this says: Asset inventory must be reviewed and updated by management on an as-needed basis or at least annually.
Why it matters: SOC 2 requires an asset inventory to track what needs protection. For a small startup, this includes laptops, servers, and licenses.
Recommendation: Create an asset register (spreadsheet or tool) listing: device type, owner, location (office/remote), purchase date, OS version, encryption status. Conduct annual review with all team leads. For offshore devs, document their devices (if company-issued) or confirm they use personal devices with approved security configs.</w:t>
      </w:r>
    </w:p>
  </w:comment>
  <w:comment w:id="7" w:author="PolicyLift Reviewer" w:date="2026-02-10T01:43:42Z" w:initials="PR">
    <w:p w14:paraId="479F70AE" w14:textId="77777777">
      <w:r>
        <w:rPr>
          <w:rStyle w:val="CommentReference"/>
        </w:rPr>
        <w:annotationRef/>
      </w:r>
      <w:r>
        <w:rPr>
          <w:color w:val="000000"/>
          <w:sz w:val="20"/>
          <w:szCs w:val="20"/>
        </w:rPr>
        <w:t>COMMITMENT — Full Disk Encryption and Strong Passwords
What this says: All workstations must have disk encryption and strong passwords enabled.
Why it matters: Standard security control to prevent data theft if a laptop is lost/stolen. Applies to all 9 staff and 4 offshore devs.
Recommendation: Use Mobile Device Management (MDM) or group policy to enforce disk encryption (FileVault on Mac, BitLocker on Windows). Require 12+ character passwords per policy. For offshore devs, confirm their devices (or company-issued devices) meet this requirement before data access is granted.</w:t>
      </w:r>
    </w:p>
  </w:comment>
  <w:comment w:id="8" w:author="PolicyLift Reviewer" w:date="2026-02-10T01:43:42Z" w:initials="PR">
    <w:p w14:paraId="7C2AE13F" w14:textId="77777777">
      <w:r>
        <w:rPr>
          <w:rStyle w:val="CommentReference"/>
        </w:rPr>
        <w:annotationRef/>
      </w:r>
      <w:r>
        <w:rPr>
          <w:color w:val="000000"/>
          <w:sz w:val="20"/>
          <w:szCs w:val="20"/>
        </w:rPr>
        <w:t>PROCESS — Vulnerability and Patch Management
What this says: PolicyLift performs monthly vulnerability scans and manages patches by severity and risk.
Why it matters: SOC 2 requires evidence of an active vulnerability and patch management program. Delve conducts annual pen testing; PolicyLift needs to address vulnerabilities between pen tests.
Recommendation: Document the scan schedule (first Monday of each month). Create a remediation tracking log with: scan date, vulnerabilities found, severity, remediation deadline, status. For Critical/High, aim for remediation within SLA (see Incident Response Policy). Offshore devs should receive vulnerability notifications for their code.</w:t>
      </w:r>
    </w:p>
  </w:comment>
  <w:comment w:id="9" w:author="PolicyLift Reviewer" w:date="2026-02-10T01:43:42Z" w:initials="PR">
    <w:p w14:paraId="3608F5D8" w14:textId="77777777">
      <w:r>
        <w:rPr>
          <w:rStyle w:val="CommentReference"/>
        </w:rPr>
        <w:annotationRef/>
      </w:r>
      <w:r>
        <w:rPr>
          <w:color w:val="000000"/>
          <w:sz w:val="20"/>
          <w:szCs w:val="20"/>
        </w:rPr>
        <w:t>ROLE — Monthly Patch Approval Process
What this says: IT leadership team approves patch implementations monthly to ensure critical patches are updated timely.
Why it matters: PolicyLift has no formal IT leadership team. This responsibility is unclear. Patches need approval before production deployment.
Recommendation: Define ’IT leadership team’ as CTO + Head of Operations. Schedule monthly patch approval meetings (e.g., first Tuesday of each month). Create an approval log showing: patch name, OS/app, approval date, applied date, test results. For offshore devs, document whether they participate or CTO handles approvals.</w:t>
      </w:r>
    </w:p>
  </w:comment>
  <w:comment w:id="10" w:author="PolicyLift Reviewer" w:date="2026-02-10T01:43:42Z" w:initials="PR">
    <w:p w14:paraId="351246E6" w14:textId="77777777">
      <w:r>
        <w:rPr>
          <w:rStyle w:val="CommentReference"/>
        </w:rPr>
        <w:annotationRef/>
      </w:r>
      <w:r>
        <w:rPr>
          <w:color w:val="000000"/>
          <w:sz w:val="20"/>
          <w:szCs w:val="20"/>
        </w:rPr>
        <w:t>RECURRING — Monthly Vulnerability Scanning
What this says: Scans are performed monthly, with frequency adjusted as needed to meet commitments.
Why it matters: SOC 2 requires evidence of ongoing vulnerability scanning. Monthly cadence is baseline; frequency may increase if issues are found.
Recommendation: Schedule monthly vulnerability scans in Supabase or use a tool like Qualys. Document each scan: date run, tool used, vulnerabilities found, severity breakdown, remediation plan. If Critical/High found, increase scan frequency to weekly until resolved. Archive scan reports for audit trail.</w:t>
      </w:r>
    </w:p>
  </w:comment>
  <w:comment w:id="11" w:author="PolicyLift Reviewer" w:date="2026-02-10T01:43:42Z" w:initials="PR">
    <w:p w14:paraId="5368C9D1" w14:textId="77777777">
      <w:r>
        <w:rPr>
          <w:rStyle w:val="CommentReference"/>
        </w:rPr>
        <w:annotationRef/>
      </w:r>
      <w:r>
        <w:rPr>
          <w:color w:val="000000"/>
          <w:sz w:val="20"/>
          <w:szCs w:val="20"/>
        </w:rPr>
        <w:t>PROCESS — Change Management and Testing
What this says: All production changes must be documented, tested, and approved before deployment.
Why it matters: SOC 2 requires change control to prevent unauthorized or untested changes from breaking security or availability. This applies to all code and infrastructure changes by developers and offshore team.
Recommendation: Create a change request template: change description, business justification, testing plan, approval required, rollback plan. Require CTO or designee approval. For offshore devs, same approval applies. Document test results and approval in change log. Require sign-off before production deployment.</w:t>
      </w:r>
    </w:p>
  </w:comment>
  <w:comment w:id="12" w:author="PolicyLift Reviewer" w:date="2026-02-10T01:43:42Z" w:initials="PR">
    <w:p w14:paraId="2A6E5E0A" w14:textId="77777777">
      <w:r>
        <w:rPr>
          <w:rStyle w:val="CommentReference"/>
        </w:rPr>
        <w:annotationRef/>
      </w:r>
      <w:r>
        <w:rPr>
          <w:color w:val="000000"/>
          <w:sz w:val="20"/>
          <w:szCs w:val="20"/>
        </w:rPr>
        <w:t>PROCESS — Audit Logging and Monitoring
What this says: Logs are collected and monitored from production systems, databases, servers, and IAM activities. Monitoring tools identify anomalies.
Why it matters: Logging is critical for detecting breaches, compliance violations, and troubleshooting. Supabase will generate logs; PolicyLift needs a centralized log storage and monitoring approach.
Recommendation: Configure Supabase audit logging. Use a log aggregation tool (e.g., ELK, Datadog) to collect logs from all systems. Set up alerts for suspicious activities (e.g., multiple failed logins, privilege escalations). Retain logs for 1+ year. Review alerts weekly with CTO.</w:t>
      </w:r>
    </w:p>
  </w:comment>
  <w:comment w:id="13" w:author="PolicyLift Reviewer" w:date="2026-02-10T01:43:42Z" w:initials="PR">
    <w:p w14:paraId="62951229" w14:textId="77777777">
      <w:r>
        <w:rPr>
          <w:rStyle w:val="CommentReference"/>
        </w:rPr>
        <w:annotationRef/>
      </w:r>
      <w:r>
        <w:rPr>
          <w:color w:val="000000"/>
          <w:sz w:val="20"/>
          <w:szCs w:val="20"/>
        </w:rPr>
        <w:t>EVIDENCE — 1-Year Log Retention Requirement
What this says: All logs must be securely stored and archived for at least 1 year for forensics and audit.
Why it matters: SOC 2 requires evidence preservation for investigations. 1 year is a common compliance requirement.
Recommendation: Configure Supabase to archive logs to a separate, read-only storage location (e.g., S3 with versioning and MFA delete protection). Document the retention schedule. For logs older than 1 year, securely delete them (document deletion). Ensure only authorized personnel can access logs.</w:t>
      </w:r>
    </w:p>
  </w:comment>
  <w:comment w:id="14" w:author="PolicyLift Reviewer" w:date="2026-02-10T01:43:42Z" w:initials="PR">
    <w:p w14:paraId="0D1DEE4B" w14:textId="77777777">
      <w:r>
        <w:rPr>
          <w:rStyle w:val="CommentReference"/>
        </w:rPr>
        <w:annotationRef/>
      </w:r>
      <w:r>
        <w:rPr>
          <w:color w:val="000000"/>
          <w:sz w:val="20"/>
          <w:szCs w:val="20"/>
        </w:rPr>
        <w:t>VENDOR/THIRD-PARTY — Annual Supabase SOC 2 Review
What this says: Supabase’s SOC 2 report must be reviewed annually to evaluate control effectiveness at the vendor.
Why it matters: PolicyLift relies on Supabase for data storage. The vendor’s security controls directly impact PolicyLift’s security posture. SOC 2 auditors will expect evidence of this review.
Recommendation: Request Supabase’s SOC 2 Type II report (if available) or current audit report. Schedule an annual review meeting with CTO and Head of Operations. Document: review date, findings (any control gaps?), remediation actions if needed. Maintain the report in a secure location for auditor access.</w:t>
      </w:r>
    </w:p>
  </w:comment>
  <w:comment w:id="15" w:author="PolicyLift Reviewer" w:date="2026-02-10T01:43:42Z" w:initials="PR">
    <w:p w14:paraId="6826B461" w14:textId="77777777">
      <w:r>
        <w:rPr>
          <w:rStyle w:val="CommentReference"/>
        </w:rPr>
        <w:annotationRef/>
      </w:r>
      <w:r>
        <w:rPr>
          <w:color w:val="000000"/>
          <w:sz w:val="20"/>
          <w:szCs w:val="20"/>
        </w:rPr>
        <w:t>VENDOR/THIRD-PARTY — Pre-Implementation Vendor Security Assessment
What this says: Before using new third-party products or services, a security assessment must be completed to confirm the vendor maintains appropriate controls.
Why it matters: PolicyLift has 4 offshore devs via an agency. The agency itself is a vendor and should have been assessed for security controls.
Recommendation: For the offshore agency, request SOC 2, ISO 27001, or security questionnaire. For any new vendors (tools, SaaS, contractors), require the same. Create a vendor risk register tracking: vendor name, service, security evidence on file, expiration date of audit. Update annually.</w:t>
      </w:r>
    </w:p>
  </w:comment>
  <w:comment w:id="16" w:author="PolicyLift Reviewer" w:date="2026-02-10T01:43:42Z" w:initials="PR">
    <w:p w14:paraId="4AFD0365" w14:textId="77777777">
      <w:r>
        <w:rPr>
          <w:rStyle w:val="CommentReference"/>
        </w:rPr>
        <w:annotationRef/>
      </w:r>
      <w:r>
        <w:rPr>
          <w:color w:val="000000"/>
          <w:sz w:val="20"/>
          <w:szCs w:val="20"/>
        </w:rPr>
        <w:t>RECURRING — Annual Security Policy Review and Update
What this says: Security policies and plans must be reviewed and updated annually. Results and changes are communicated across the organization.
Why it matters: SOC 2 requires evidence of continuous policy improvement. PolicyLift needs a structured annual review cycle.
Recommendation: Schedule annual policy review in Q4 (e.g., November). Have CTO, CEO, COO review current policies and identify needed updates. Document changes, track to closure. Communicate updates to all staff via email and training. Maintain a policy change log with version numbers.</w:t>
      </w:r>
    </w:p>
  </w:comment>
  <w:comment w:id="17" w:author="PolicyLift Reviewer" w:date="2026-02-10T01:43:42Z" w:initials="PR">
    <w:p w14:paraId="7EAE729C" w14:textId="77777777">
      <w:r>
        <w:rPr>
          <w:rStyle w:val="CommentReference"/>
        </w:rPr>
        <w:annotationRef/>
      </w:r>
      <w:r>
        <w:rPr>
          <w:color w:val="000000"/>
          <w:sz w:val="20"/>
          <w:szCs w:val="20"/>
        </w:rPr>
        <w:t>COMMITMENT — Clear Desk and Screen Controls
What this says: Personnel must remove hardcopy sensitive information from desks at day end and lock devices when unoccupied. Session timeouts and auto-lock must be enforced.
Why it matters: Physical security control to prevent unauthorized viewing of sensitive data. Applies to all 9 staff and 4 offshore devs (for office/remote work).
Recommendation: Include clear desk/screen policy in onboarding. For offshore devs, emphasize this in remote work guidance. Use group policy or MDM to enforce auto-lock after 15 minutes of inactivity. Periodic reminders (monthly) reinforce the expectation. Document compliance via spot checks or self-attestation.</w:t>
      </w:r>
    </w:p>
  </w:comment>
  <w:comment w:id="18" w:author="PolicyLift Reviewer" w:date="2026-02-10T01:43:42Z" w:initials="PR">
    <w:p w14:paraId="1E4F3838" w14:textId="77777777">
      <w:r>
        <w:rPr>
          <w:rStyle w:val="CommentReference"/>
        </w:rPr>
        <w:annotationRef/>
      </w:r>
      <w:r>
        <w:rPr>
          <w:color w:val="000000"/>
          <w:sz w:val="20"/>
          <w:szCs w:val="20"/>
        </w:rPr>
        <w:t>COMMITMENT — Disciplinary Action for Policy Violations
What this says: Policy violations may result in disciplinary action up to and including termination. PolicyLift may report unlawful activity to law enforcement.
Why it matters: This sets the tone that security is non-negotiable. Applies to all staff including offshore devs.
Recommendation: Communicate this in writing during onboarding. Include in employee handbook. For offshore devs, confirm the agency contractor agreement includes similar disciplinary language. Document any violations and actions taken in personnel files.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F53EBC" w15:done="0"/>
  <w15:commentEx w15:paraId="5072C038" w15:done="0"/>
  <w15:commentEx w15:paraId="0E7F2FE0" w15:done="0"/>
  <w15:commentEx w15:paraId="15AD92E0" w15:done="0"/>
  <w15:commentEx w15:paraId="36CB9503" w15:done="0"/>
  <w15:commentEx w15:paraId="7D6A0EAF" w15:done="0"/>
  <w15:commentEx w15:paraId="7556C05B" w15:done="0"/>
  <w15:commentEx w15:paraId="479F70AE" w15:done="0"/>
  <w15:commentEx w15:paraId="7C2AE13F" w15:done="0"/>
  <w15:commentEx w15:paraId="3608F5D8" w15:done="0"/>
  <w15:commentEx w15:paraId="351246E6" w15:done="0"/>
  <w15:commentEx w15:paraId="5368C9D1" w15:done="0"/>
  <w15:commentEx w15:paraId="2A6E5E0A" w15:done="0"/>
  <w15:commentEx w15:paraId="62951229" w15:done="0"/>
  <w15:commentEx w15:paraId="0D1DEE4B" w15:done="0"/>
  <w15:commentEx w15:paraId="6826B461" w15:done="0"/>
  <w15:commentEx w15:paraId="4AFD0365" w15:done="0"/>
  <w15:commentEx w15:paraId="7EAE729C" w15:done="0"/>
  <w15:commentEx w15:paraId="1E4F38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1CE1CBF" w16cex:dateUtc="2026-02-10T01:43:42Z"/>
  <w16cex:commentExtensible w16cex:durableId="1F935A60" w16cex:dateUtc="2026-02-10T01:43:42Z"/>
  <w16cex:commentExtensible w16cex:durableId="4F123C36" w16cex:dateUtc="2026-02-10T01:43:42Z"/>
  <w16cex:commentExtensible w16cex:durableId="634D87A0" w16cex:dateUtc="2026-02-10T01:43:42Z"/>
  <w16cex:commentExtensible w16cex:durableId="6202FD88" w16cex:dateUtc="2026-02-10T01:43:42Z"/>
  <w16cex:commentExtensible w16cex:durableId="0AF53CCB" w16cex:dateUtc="2026-02-10T01:43:42Z"/>
  <w16cex:commentExtensible w16cex:durableId="5C7CC523" w16cex:dateUtc="2026-02-10T01:43:42Z"/>
  <w16cex:commentExtensible w16cex:durableId="52CC3CBF" w16cex:dateUtc="2026-02-10T01:43:42Z"/>
  <w16cex:commentExtensible w16cex:durableId="13C43A71" w16cex:dateUtc="2026-02-10T01:43:42Z"/>
  <w16cex:commentExtensible w16cex:durableId="3A690EB3" w16cex:dateUtc="2026-02-10T01:43:42Z"/>
  <w16cex:commentExtensible w16cex:durableId="2FEA2817" w16cex:dateUtc="2026-02-10T01:43:42Z"/>
  <w16cex:commentExtensible w16cex:durableId="1E0C9061" w16cex:dateUtc="2026-02-10T01:43:42Z"/>
  <w16cex:commentExtensible w16cex:durableId="6BFA6FAE" w16cex:dateUtc="2026-02-10T01:43:42Z"/>
  <w16cex:commentExtensible w16cex:durableId="67A66E43" w16cex:dateUtc="2026-02-10T01:43:42Z"/>
  <w16cex:commentExtensible w16cex:durableId="2C7E0ECF" w16cex:dateUtc="2026-02-10T01:43:42Z"/>
  <w16cex:commentExtensible w16cex:durableId="1C9CC4C3" w16cex:dateUtc="2026-02-10T01:43:42Z"/>
  <w16cex:commentExtensible w16cex:durableId="7C0E765E" w16cex:dateUtc="2026-02-10T01:43:42Z"/>
  <w16cex:commentExtensible w16cex:durableId="26882CF8" w16cex:dateUtc="2026-02-10T01:43:42Z"/>
  <w16cex:commentExtensible w16cex:durableId="66160976" w16cex:dateUtc="2026-02-10T01:43:4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F53EBC" w16cid:durableId="51CE1CBF"/>
  <w16cid:commentId w16cid:paraId="5072C038" w16cid:durableId="1F935A60"/>
  <w16cid:commentId w16cid:paraId="0E7F2FE0" w16cid:durableId="4F123C36"/>
  <w16cid:commentId w16cid:paraId="15AD92E0" w16cid:durableId="634D87A0"/>
  <w16cid:commentId w16cid:paraId="36CB9503" w16cid:durableId="6202FD88"/>
  <w16cid:commentId w16cid:paraId="7D6A0EAF" w16cid:durableId="0AF53CCB"/>
  <w16cid:commentId w16cid:paraId="7556C05B" w16cid:durableId="5C7CC523"/>
  <w16cid:commentId w16cid:paraId="479F70AE" w16cid:durableId="52CC3CBF"/>
  <w16cid:commentId w16cid:paraId="7C2AE13F" w16cid:durableId="13C43A71"/>
  <w16cid:commentId w16cid:paraId="3608F5D8" w16cid:durableId="3A690EB3"/>
  <w16cid:commentId w16cid:paraId="351246E6" w16cid:durableId="2FEA2817"/>
  <w16cid:commentId w16cid:paraId="5368C9D1" w16cid:durableId="1E0C9061"/>
  <w16cid:commentId w16cid:paraId="2A6E5E0A" w16cid:durableId="6BFA6FAE"/>
  <w16cid:commentId w16cid:paraId="62951229" w16cid:durableId="67A66E43"/>
  <w16cid:commentId w16cid:paraId="0D1DEE4B" w16cid:durableId="2C7E0ECF"/>
  <w16cid:commentId w16cid:paraId="6826B461" w16cid:durableId="1C9CC4C3"/>
  <w16cid:commentId w16cid:paraId="4AFD0365" w16cid:durableId="7C0E765E"/>
  <w16cid:commentId w16cid:paraId="7EAE729C" w16cid:durableId="26882CF8"/>
  <w16cid:commentId w16cid:paraId="1E4F3838" w16cid:durableId="661609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2026-02-10T01:43:41.551Z</dcterms:created>
  <dcterms:modified xsi:type="dcterms:W3CDTF">2026-02-10T01:43:41.551Z</dcterms:modified>
</cp:coreProperties>
</file>

<file path=docProps/custom.xml><?xml version="1.0" encoding="utf-8"?>
<Properties xmlns="http://schemas.openxmlformats.org/officeDocument/2006/custom-properties" xmlns:vt="http://schemas.openxmlformats.org/officeDocument/2006/docPropsVTypes"/>
</file>