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Risk Assessment and Treatment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EVIDENCE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SCOPE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Formal risk assessment required annually or after significant changes</w:t>
      </w:r>
    </w:p>
    <w:p>
      <w:pPr>
        <w:pStyle w:val="ListParagraph"/>
        <w:numPr>
          <w:ilvl w:val="0"/>
          <w:numId w:val="2"/>
        </w:numPr>
        <w:spacing w:before="40" w:after="40"/>
      </w:pPr>
      <w:r>
        <w:rPr>
          <w:rFonts w:ascii="Arial" w:cs="Arial" w:eastAsia="Arial" w:hAnsi="Arial"/>
          <w:sz w:val="22"/>
          <w:szCs w:val="22"/>
        </w:rPr>
        <w:t xml:space="preserve">Risk assessment coordinated by compliance officer (role not assigned)</w:t>
      </w:r>
    </w:p>
    <w:p>
      <w:pPr>
        <w:pStyle w:val="ListParagraph"/>
        <w:numPr>
          <w:ilvl w:val="0"/>
          <w:numId w:val="2"/>
        </w:numPr>
        <w:spacing w:before="40" w:after="40"/>
      </w:pPr>
      <w:r>
        <w:rPr>
          <w:rFonts w:ascii="Arial" w:cs="Arial" w:eastAsia="Arial" w:hAnsi="Arial"/>
          <w:sz w:val="22"/>
          <w:szCs w:val="22"/>
        </w:rPr>
        <w:t xml:space="preserve">Management and CISO perform formal assessment (CTO likely acts as CISO)</w:t>
      </w:r>
    </w:p>
    <w:p>
      <w:pPr>
        <w:pStyle w:val="ListParagraph"/>
        <w:numPr>
          <w:ilvl w:val="0"/>
          <w:numId w:val="2"/>
        </w:numPr>
        <w:spacing w:before="40" w:after="40"/>
      </w:pPr>
      <w:r>
        <w:rPr>
          <w:rFonts w:ascii="Arial" w:cs="Arial" w:eastAsia="Arial" w:hAnsi="Arial"/>
          <w:sz w:val="22"/>
          <w:szCs w:val="22"/>
        </w:rPr>
        <w:t xml:space="preserve">Risk owners identified for each risk</w:t>
      </w:r>
    </w:p>
    <w:p>
      <w:pPr>
        <w:pStyle w:val="ListParagraph"/>
        <w:numPr>
          <w:ilvl w:val="0"/>
          <w:numId w:val="2"/>
        </w:numPr>
        <w:spacing w:before="40" w:after="40"/>
      </w:pPr>
      <w:r>
        <w:rPr>
          <w:rFonts w:ascii="Arial" w:cs="Arial" w:eastAsia="Arial" w:hAnsi="Arial"/>
          <w:sz w:val="22"/>
          <w:szCs w:val="22"/>
        </w:rPr>
        <w:t xml:space="preserve">Vulnerabilities identified via scanning, pen tests, audits, heuristics</w:t>
      </w:r>
    </w:p>
    <w:p>
      <w:pPr>
        <w:pStyle w:val="ListParagraph"/>
        <w:numPr>
          <w:ilvl w:val="0"/>
          <w:numId w:val="2"/>
        </w:numPr>
        <w:spacing w:before="40" w:after="40"/>
      </w:pPr>
      <w:r>
        <w:rPr>
          <w:rFonts w:ascii="Arial" w:cs="Arial" w:eastAsia="Arial" w:hAnsi="Arial"/>
          <w:sz w:val="22"/>
          <w:szCs w:val="22"/>
        </w:rPr>
        <w:t xml:space="preserve">Risk scoring: Likelihood × Impact</w:t>
      </w:r>
    </w:p>
    <w:p>
      <w:pPr>
        <w:pStyle w:val="ListParagraph"/>
        <w:numPr>
          <w:ilvl w:val="0"/>
          <w:numId w:val="2"/>
        </w:numPr>
        <w:spacing w:before="40" w:after="40"/>
      </w:pPr>
      <w:r>
        <w:rPr>
          <w:rFonts w:ascii="Arial" w:cs="Arial" w:eastAsia="Arial" w:hAnsi="Arial"/>
          <w:sz w:val="22"/>
          <w:szCs w:val="22"/>
        </w:rPr>
        <w:t xml:space="preserve">High/critical risks require immediate mitigation action plans</w:t>
      </w:r>
    </w:p>
    <w:p>
      <w:pPr>
        <w:pStyle w:val="ListParagraph"/>
        <w:numPr>
          <w:ilvl w:val="0"/>
          <w:numId w:val="2"/>
        </w:numPr>
        <w:spacing w:before="40" w:after="40"/>
      </w:pPr>
      <w:r>
        <w:rPr>
          <w:rFonts w:ascii="Arial" w:cs="Arial" w:eastAsia="Arial" w:hAnsi="Arial"/>
          <w:sz w:val="22"/>
          <w:szCs w:val="22"/>
        </w:rPr>
        <w:t xml:space="preserve">Residual risks calculated after treatment</w:t>
      </w:r>
    </w:p>
    <w:p>
      <w:pPr>
        <w:pStyle w:val="ListParagraph"/>
        <w:numPr>
          <w:ilvl w:val="0"/>
          <w:numId w:val="2"/>
        </w:numPr>
        <w:spacing w:before="40" w:after="40"/>
      </w:pPr>
      <w:r>
        <w:rPr>
          <w:rFonts w:ascii="Arial" w:cs="Arial" w:eastAsia="Arial" w:hAnsi="Arial"/>
          <w:sz w:val="22"/>
          <w:szCs w:val="22"/>
        </w:rPr>
        <w:t xml:space="preserve">Risk register maintained and tracked</w:t>
      </w:r>
    </w:p>
    <w:p>
      <w:pPr>
        <w:pStyle w:val="ListParagraph"/>
        <w:numPr>
          <w:ilvl w:val="0"/>
          <w:numId w:val="2"/>
        </w:numPr>
        <w:spacing w:before="40" w:after="40"/>
      </w:pPr>
      <w:r>
        <w:rPr>
          <w:rFonts w:ascii="Arial" w:cs="Arial" w:eastAsia="Arial" w:hAnsi="Arial"/>
          <w:sz w:val="22"/>
          <w:szCs w:val="22"/>
        </w:rPr>
        <w:t xml:space="preserve">Violation of policy can result in termination</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Compliance Officer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DECISION NEEDED: Assign compliance responsibilities (likely CTO or Head of Ops)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Chief Information Security Officer (CISO)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 (interim role assignment needed)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 Owner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System owners: CTO (Supabase), Head of Ops (HR systems)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Risk Owner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Management team: CEO (overall), CTO (technical risks), Head of Ops (operational risks)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Executive Management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 CTO, Head of Operations</w:t>
            </w:r>
          </w:p>
        </w:tc>
      </w:tr>
    </w:tbl>
    <w:p>
      <w:r>
        <w:br w:type="page"/>
      </w:r>
    </w:p>
    <w:p>
      <w:pPr>
        <w:pStyle w:val="Heading1"/>
        <w:spacing w:before="0" w:after="200"/>
      </w:pPr>
      <w:r>
        <w:rPr>
          <w:rFonts w:ascii="Arial" w:cs="Arial" w:eastAsia="Arial" w:hAnsi="Arial"/>
          <w:b/>
          <w:bCs/>
          <w:sz w:val="32"/>
          <w:szCs w:val="32"/>
        </w:rPr>
        <w:t xml:space="preserve">Risk Assessment and Treatment Policy</w:t>
      </w:r>
    </w:p>
    <w:p>
      <w:pPr>
        <w:pStyle w:val="Heading2"/>
        <w:spacing w:before="200" w:after="100"/>
      </w:pPr>
      <w:r>
        <w:rPr>
          <w:rFonts w:ascii="Arial" w:cs="Arial" w:eastAsia="Arial" w:hAnsi="Arial"/>
          <w:b/>
          <w:bCs/>
          <w:sz w:val="24"/>
          <w:szCs w:val="24"/>
        </w:rPr>
        <w:t xml:space="preserve">Purpose and Scope</w:t>
      </w:r>
    </w:p>
    <w:p>
      <w:pPr>
        <w:spacing w:before="60" w:after="60"/>
      </w:pPr>
    </w:p>
    <w:p>
      <w:pPr>
        <w:spacing w:before="60" w:after="60"/>
      </w:pPr>
      <w:r>
        <w:rPr>
          <w:rFonts w:ascii="Arial" w:cs="Arial" w:eastAsia="Arial" w:hAnsi="Arial"/>
          <w:sz w:val="22"/>
          <w:szCs w:val="22"/>
        </w:rPr>
        <w:t xml:space="preserve">This Risk Assessment Policy guides [Legal Name] (hereinafter referred to as "PolicyLift") in performing risk assessments to account for threats, vulnerabilities, likelihood, and impact to PolicyLift assets, team members, customers, vendors, suppliers, and partners based upon PolicyLift services considering security, availability, integrity, and confidentiality needs.</w:t>
      </w:r>
    </w:p>
    <w:p>
      <w:pPr>
        <w:spacing w:before="60" w:after="60"/>
      </w:pPr>
    </w:p>
    <w:p>
      <w:pPr>
        <w:spacing w:before="60" w:after="60"/>
      </w:pPr>
      <w:commentRangeStart w:id="0"/>
      <w:r>
        <w:rPr>
          <w:rFonts w:ascii="Arial" w:cs="Arial" w:eastAsia="Arial" w:hAnsi="Arial"/>
          <w:sz w:val="22"/>
          <w:szCs w:val="22"/>
        </w:rPr>
        <w:t xml:space="preserve">This policy applies to all PolicyLift assets utilized by personnel acting on behalf of PolicyLift or accessing its applications, infrastructure, systems, or data. All personnel are required to read, accept, and follow all PolicyLift policies and plans.</w:t>
      </w:r>
      <w:commentRangeEnd w:id="0"/>
      <w:r>
        <w:rPr>
          <w:rStyle w:val="CommentReference"/>
        </w:rPr>
        <w:commentReference w:id="0"/>
      </w:r>
    </w:p>
    <w:p>
      <w:pPr>
        <w:spacing w:before="60" w:after="60"/>
      </w:pPr>
    </w:p>
    <w:p>
      <w:pPr>
        <w:pStyle w:val="Heading2"/>
        <w:spacing w:before="200" w:after="100"/>
      </w:pPr>
      <w:r>
        <w:rPr>
          <w:rFonts w:ascii="Arial" w:cs="Arial" w:eastAsia="Arial" w:hAnsi="Arial"/>
          <w:b/>
          <w:bCs/>
          <w:sz w:val="24"/>
          <w:szCs w:val="24"/>
        </w:rPr>
        <w:t xml:space="preserve">Risk Assessment Framework</w:t>
      </w:r>
    </w:p>
    <w:p>
      <w:pPr>
        <w:spacing w:before="60" w:after="60"/>
      </w:pPr>
    </w:p>
    <w:p>
      <w:pPr>
        <w:spacing w:before="60" w:after="60"/>
      </w:pPr>
      <w:r>
        <w:rPr>
          <w:rFonts w:ascii="Arial" w:cs="Arial" w:eastAsia="Arial" w:hAnsi="Arial"/>
          <w:sz w:val="22"/>
          <w:szCs w:val="22"/>
        </w:rPr>
        <w:t xml:space="preserve">PolicyLift conducts assessments of risk, which includes the likelihood and impact of risk from the unauthorized access, use, disclosure, disruption, modification and/or destruction of PolicyLift systems, applications, infrastructure, and data pertaining to PolicyLift's environment.</w:t>
      </w:r>
    </w:p>
    <w:p>
      <w:pPr>
        <w:spacing w:before="60" w:after="60"/>
      </w:pPr>
    </w:p>
    <w:p>
      <w:pPr>
        <w:spacing w:before="60" w:after="60"/>
      </w:pPr>
      <w:commentRangeStart w:id="1"/>
      <w:r>
        <w:rPr>
          <w:rFonts w:ascii="Arial" w:cs="Arial" w:eastAsia="Arial" w:hAnsi="Arial"/>
          <w:sz w:val="22"/>
          <w:szCs w:val="22"/>
        </w:rPr>
        <w:t xml:space="preserve">The risk assessment process is coordinated by PolicyLift compliance officer, which includes the identification and evaluation of assets, threats, and vulnerabilities. Assets should be identified by respective asset owners, and the assessment of threats as well as the likelihood and criticality of potential vulnerability exploitation, should be performed by respective risk owners.</w:t>
      </w:r>
      <w:commentRangeEnd w:id="1"/>
      <w:r>
        <w:rPr>
          <w:rStyle w:val="CommentReference"/>
        </w:rPr>
        <w:commentReference w:id="1"/>
      </w:r>
    </w:p>
    <w:p>
      <w:pPr>
        <w:spacing w:before="60" w:after="60"/>
      </w:pPr>
    </w:p>
    <w:p>
      <w:pPr>
        <w:spacing w:before="60" w:after="60"/>
      </w:pPr>
      <w:commentRangeStart w:id="4"/>
      <w:r>
        <w:rPr>
          <w:rFonts w:ascii="Arial" w:cs="Arial" w:eastAsia="Arial" w:hAnsi="Arial"/>
          <w:sz w:val="22"/>
          <w:szCs w:val="22"/>
        </w:rPr>
        <w:t xml:space="preserve">A risk assessment may include a review of:</w:t>
      </w:r>
      <w:commentRangeEnd w:id="4"/>
      <w:r>
        <w:rPr>
          <w:rStyle w:val="CommentReference"/>
        </w:rPr>
        <w:commentReference w:id="4"/>
      </w:r>
    </w:p>
    <w:p>
      <w:pPr>
        <w:spacing w:before="60" w:after="60"/>
      </w:pPr>
    </w:p>
    <w:p>
      <w:pPr>
        <w:pStyle w:val="ListParagraph"/>
        <w:numPr>
          <w:ilvl w:val="0"/>
          <w:numId w:val="3"/>
        </w:numPr>
        <w:spacing w:before="40" w:after="40"/>
      </w:pPr>
      <w:r>
        <w:rPr>
          <w:rFonts w:ascii="Arial" w:cs="Arial" w:eastAsia="Arial" w:hAnsi="Arial"/>
          <w:sz w:val="22"/>
          <w:szCs w:val="22"/>
        </w:rPr>
        <w:t xml:space="preserve">Internal controls including policies, procedures, business processes, and technical security safeguards</w:t>
      </w:r>
    </w:p>
    <w:p>
      <w:pPr>
        <w:spacing w:before="60" w:after="60"/>
      </w:pPr>
    </w:p>
    <w:p>
      <w:pPr>
        <w:pStyle w:val="ListParagraph"/>
        <w:numPr>
          <w:ilvl w:val="0"/>
          <w:numId w:val="3"/>
        </w:numPr>
        <w:spacing w:before="40" w:after="40"/>
      </w:pPr>
      <w:r>
        <w:rPr>
          <w:rFonts w:ascii="Arial" w:cs="Arial" w:eastAsia="Arial" w:hAnsi="Arial"/>
          <w:sz w:val="22"/>
          <w:szCs w:val="22"/>
        </w:rPr>
        <w:t xml:space="preserve">Human resource practices related to hiring, termination, and discipline procedures</w:t>
      </w:r>
    </w:p>
    <w:p>
      <w:pPr>
        <w:spacing w:before="60" w:after="60"/>
      </w:pPr>
    </w:p>
    <w:p>
      <w:pPr>
        <w:pStyle w:val="ListParagraph"/>
        <w:numPr>
          <w:ilvl w:val="0"/>
          <w:numId w:val="3"/>
        </w:numPr>
        <w:spacing w:before="40" w:after="40"/>
      </w:pPr>
      <w:r>
        <w:rPr>
          <w:rFonts w:ascii="Arial" w:cs="Arial" w:eastAsia="Arial" w:hAnsi="Arial"/>
          <w:sz w:val="22"/>
          <w:szCs w:val="22"/>
        </w:rPr>
        <w:t xml:space="preserve">Facility controls</w:t>
      </w:r>
    </w:p>
    <w:p>
      <w:pPr>
        <w:spacing w:before="60" w:after="60"/>
      </w:pPr>
    </w:p>
    <w:p>
      <w:pPr>
        <w:pStyle w:val="ListParagraph"/>
        <w:numPr>
          <w:ilvl w:val="0"/>
          <w:numId w:val="3"/>
        </w:numPr>
        <w:spacing w:before="40" w:after="40"/>
      </w:pPr>
      <w:r>
        <w:rPr>
          <w:rFonts w:ascii="Arial" w:cs="Arial" w:eastAsia="Arial" w:hAnsi="Arial"/>
          <w:sz w:val="22"/>
          <w:szCs w:val="22"/>
        </w:rPr>
        <w:t xml:space="preserve">Exposure to theft</w:t>
      </w:r>
    </w:p>
    <w:p>
      <w:pPr>
        <w:spacing w:before="60" w:after="60"/>
      </w:pPr>
    </w:p>
    <w:p>
      <w:pPr>
        <w:pStyle w:val="ListParagraph"/>
        <w:numPr>
          <w:ilvl w:val="0"/>
          <w:numId w:val="3"/>
        </w:numPr>
        <w:spacing w:before="40" w:after="40"/>
      </w:pPr>
      <w:r>
        <w:rPr>
          <w:rFonts w:ascii="Arial" w:cs="Arial" w:eastAsia="Arial" w:hAnsi="Arial"/>
          <w:sz w:val="22"/>
          <w:szCs w:val="22"/>
        </w:rPr>
        <w:t xml:space="preserve">Systems and applications used to collect, store, process or transmit confidential data</w:t>
      </w:r>
    </w:p>
    <w:p>
      <w:pPr>
        <w:spacing w:before="60" w:after="60"/>
      </w:pPr>
    </w:p>
    <w:p>
      <w:pPr>
        <w:spacing w:before="60" w:after="60"/>
      </w:pPr>
    </w:p>
    <w:p>
      <w:pPr>
        <w:pStyle w:val="Heading2"/>
        <w:spacing w:before="200" w:after="100"/>
      </w:pPr>
      <w:r>
        <w:rPr>
          <w:rFonts w:ascii="Arial" w:cs="Arial" w:eastAsia="Arial" w:hAnsi="Arial"/>
          <w:b/>
          <w:bCs/>
          <w:sz w:val="24"/>
          <w:szCs w:val="24"/>
        </w:rPr>
        <w:t xml:space="preserve">Risk Assessment Process</w:t>
      </w:r>
    </w:p>
    <w:p>
      <w:pPr>
        <w:spacing w:before="60" w:after="60"/>
      </w:pPr>
    </w:p>
    <w:p>
      <w:pPr>
        <w:spacing w:before="60" w:after="60"/>
      </w:pPr>
      <w:commentRangeStart w:id="2"/>
      <w:r>
        <w:rPr>
          <w:rFonts w:ascii="Arial" w:cs="Arial" w:eastAsia="Arial" w:hAnsi="Arial"/>
          <w:sz w:val="22"/>
          <w:szCs w:val="22"/>
        </w:rPr>
        <w:t xml:space="preserve">Management and the Chief Information Security Officer (CISO) perform a formal risk assessment on an annual basis or in the event of significant changes. This assessment includes risks related to:</w:t>
      </w:r>
      <w:commentRangeEnd w:id="2"/>
      <w:r>
        <w:rPr>
          <w:rStyle w:val="CommentReference"/>
        </w:rPr>
        <w:commentReference w:id="2"/>
      </w:r>
    </w:p>
    <w:p>
      <w:pPr>
        <w:spacing w:before="60" w:after="60"/>
      </w:pPr>
    </w:p>
    <w:p>
      <w:pPr>
        <w:spacing w:before="60" w:after="60"/>
      </w:pPr>
      <w:r>
        <w:rPr>
          <w:rFonts w:ascii="Arial" w:cs="Arial" w:eastAsia="Arial" w:hAnsi="Arial"/>
          <w:sz w:val="22"/>
          <w:szCs w:val="22"/>
        </w:rPr>
        <w:t xml:space="preserve">Any suspected fraud risk, waste, and abuse should be notified to the CEO and COO. Identified risks along with mitigation strategies are documented and implemented by PolicyLift's executive management within the risk register which includes an inventory of "high" and "critical" risks that relate to PolicyLift, operating model, employees, and customers.</w:t>
      </w:r>
    </w:p>
    <w:p>
      <w:pPr>
        <w:spacing w:before="60" w:after="60"/>
      </w:pPr>
    </w:p>
    <w:p>
      <w:pPr>
        <w:pStyle w:val="Heading2"/>
        <w:spacing w:before="200" w:after="100"/>
      </w:pPr>
      <w:r>
        <w:rPr>
          <w:rFonts w:ascii="Arial" w:cs="Arial" w:eastAsia="Arial" w:hAnsi="Arial"/>
          <w:b/>
          <w:bCs/>
          <w:sz w:val="24"/>
          <w:szCs w:val="24"/>
        </w:rPr>
        <w:t xml:space="preserve">Scoping Assets</w:t>
      </w:r>
    </w:p>
    <w:p>
      <w:pPr>
        <w:spacing w:before="60" w:after="60"/>
      </w:pPr>
    </w:p>
    <w:p>
      <w:pPr>
        <w:spacing w:before="60" w:after="60"/>
      </w:pPr>
      <w:r>
        <w:rPr>
          <w:rFonts w:ascii="Arial" w:cs="Arial" w:eastAsia="Arial" w:hAnsi="Arial"/>
          <w:sz w:val="22"/>
          <w:szCs w:val="22"/>
        </w:rPr>
        <w:t xml:space="preserve">In order to begin the risk assessment process, the assessor should determine the scope of what needs to be covered in the assessment. An effective assessment should be limited in its scope to the applicable assets.</w:t>
      </w:r>
    </w:p>
    <w:p>
      <w:pPr>
        <w:spacing w:before="60" w:after="60"/>
      </w:pPr>
    </w:p>
    <w:p>
      <w:pPr>
        <w:spacing w:before="60" w:after="60"/>
      </w:pPr>
      <w:r>
        <w:rPr>
          <w:rFonts w:ascii="Arial" w:cs="Arial" w:eastAsia="Arial" w:hAnsi="Arial"/>
          <w:sz w:val="22"/>
          <w:szCs w:val="22"/>
        </w:rPr>
        <w:t xml:space="preserve">Such scoping activities may include:</w:t>
      </w:r>
    </w:p>
    <w:p>
      <w:pPr>
        <w:spacing w:before="60" w:after="60"/>
      </w:pPr>
    </w:p>
    <w:p>
      <w:pPr>
        <w:pStyle w:val="ListParagraph"/>
        <w:numPr>
          <w:ilvl w:val="0"/>
          <w:numId w:val="3"/>
        </w:numPr>
        <w:spacing w:before="40" w:after="40"/>
      </w:pPr>
      <w:r>
        <w:rPr>
          <w:rFonts w:ascii="Arial" w:cs="Arial" w:eastAsia="Arial" w:hAnsi="Arial"/>
          <w:sz w:val="22"/>
          <w:szCs w:val="22"/>
        </w:rPr>
        <w:t xml:space="preserve">Review inventory of critical system assets (hardware, software, facilities, etc.)</w:t>
      </w:r>
    </w:p>
    <w:p>
      <w:pPr>
        <w:spacing w:before="60" w:after="60"/>
      </w:pPr>
    </w:p>
    <w:p>
      <w:pPr>
        <w:pStyle w:val="ListParagraph"/>
        <w:numPr>
          <w:ilvl w:val="0"/>
          <w:numId w:val="3"/>
        </w:numPr>
        <w:spacing w:before="40" w:after="40"/>
      </w:pPr>
      <w:r>
        <w:rPr>
          <w:rFonts w:ascii="Arial" w:cs="Arial" w:eastAsia="Arial" w:hAnsi="Arial"/>
          <w:sz w:val="22"/>
          <w:szCs w:val="22"/>
        </w:rPr>
        <w:t xml:space="preserve">Identification of data owners (electronic and non-electronic data)</w:t>
      </w:r>
    </w:p>
    <w:p>
      <w:pPr>
        <w:spacing w:before="60" w:after="60"/>
      </w:pPr>
    </w:p>
    <w:p>
      <w:pPr>
        <w:pStyle w:val="ListParagraph"/>
        <w:numPr>
          <w:ilvl w:val="0"/>
          <w:numId w:val="3"/>
        </w:numPr>
        <w:spacing w:before="40" w:after="40"/>
      </w:pPr>
      <w:r>
        <w:rPr>
          <w:rFonts w:ascii="Arial" w:cs="Arial" w:eastAsia="Arial" w:hAnsi="Arial"/>
          <w:sz w:val="22"/>
          <w:szCs w:val="22"/>
        </w:rPr>
        <w:t xml:space="preserve">Identification of workforce members with access to stored data by hardware/software</w:t>
      </w:r>
    </w:p>
    <w:p>
      <w:pPr>
        <w:spacing w:before="60" w:after="60"/>
      </w:pPr>
    </w:p>
    <w:p>
      <w:pPr>
        <w:pStyle w:val="ListParagraph"/>
        <w:numPr>
          <w:ilvl w:val="0"/>
          <w:numId w:val="3"/>
        </w:numPr>
        <w:spacing w:before="40" w:after="40"/>
      </w:pPr>
      <w:r>
        <w:rPr>
          <w:rFonts w:ascii="Arial" w:cs="Arial" w:eastAsia="Arial" w:hAnsi="Arial"/>
          <w:sz w:val="22"/>
          <w:szCs w:val="22"/>
        </w:rPr>
        <w:t xml:space="preserve">Mapping data flow through PolicyLift and vendor systems</w:t>
      </w:r>
    </w:p>
    <w:p>
      <w:pPr>
        <w:spacing w:before="60" w:after="60"/>
      </w:pPr>
    </w:p>
    <w:p>
      <w:pPr>
        <w:pStyle w:val="ListParagraph"/>
        <w:numPr>
          <w:ilvl w:val="0"/>
          <w:numId w:val="3"/>
        </w:numPr>
        <w:spacing w:before="40" w:after="40"/>
      </w:pPr>
      <w:r>
        <w:rPr>
          <w:rFonts w:ascii="Arial" w:cs="Arial" w:eastAsia="Arial" w:hAnsi="Arial"/>
          <w:sz w:val="22"/>
          <w:szCs w:val="22"/>
        </w:rPr>
        <w:t xml:space="preserve">Conducting an inventory of data storage (including non-electronic data)</w:t>
      </w:r>
    </w:p>
    <w:p>
      <w:pPr>
        <w:spacing w:before="60" w:after="60"/>
      </w:pPr>
    </w:p>
    <w:p>
      <w:pPr>
        <w:pStyle w:val="ListParagraph"/>
        <w:numPr>
          <w:ilvl w:val="0"/>
          <w:numId w:val="3"/>
        </w:numPr>
        <w:spacing w:before="40" w:after="40"/>
      </w:pPr>
      <w:r>
        <w:rPr>
          <w:rFonts w:ascii="Arial" w:cs="Arial" w:eastAsia="Arial" w:hAnsi="Arial"/>
          <w:sz w:val="22"/>
          <w:szCs w:val="22"/>
        </w:rPr>
        <w:t xml:space="preserve">System characterization (e.g. essential, non-essential)</w:t>
      </w:r>
    </w:p>
    <w:p>
      <w:pPr>
        <w:spacing w:before="60" w:after="60"/>
      </w:pPr>
    </w:p>
    <w:p>
      <w:pPr>
        <w:spacing w:before="60" w:after="60"/>
      </w:pPr>
    </w:p>
    <w:p>
      <w:pPr>
        <w:pStyle w:val="Heading2"/>
        <w:spacing w:before="200" w:after="100"/>
      </w:pPr>
      <w:r>
        <w:rPr>
          <w:rFonts w:ascii="Arial" w:cs="Arial" w:eastAsia="Arial" w:hAnsi="Arial"/>
          <w:b/>
          <w:bCs/>
          <w:sz w:val="24"/>
          <w:szCs w:val="24"/>
        </w:rPr>
        <w:t xml:space="preserve">Identifying Threats and Vulnerabilities</w:t>
      </w:r>
    </w:p>
    <w:p>
      <w:pPr>
        <w:spacing w:before="60" w:after="60"/>
      </w:pPr>
    </w:p>
    <w:p>
      <w:pPr>
        <w:spacing w:before="60" w:after="60"/>
      </w:pPr>
      <w:commentRangeStart w:id="5"/>
      <w:r>
        <w:rPr>
          <w:rFonts w:ascii="Arial" w:cs="Arial" w:eastAsia="Arial" w:hAnsi="Arial"/>
          <w:sz w:val="22"/>
          <w:szCs w:val="22"/>
        </w:rPr>
        <w:t xml:space="preserve">Vulnerabilities and the related threats, both internal and external, to PolicyLift operations (including, but not limited to, its mission, functions, image, or reputation), assets, information, and individuals may be identified and documented as part of PolicyLift risk assessment.</w:t>
      </w:r>
      <w:commentRangeEnd w:id="5"/>
      <w:r>
        <w:rPr>
          <w:rStyle w:val="CommentReference"/>
        </w:rPr>
        <w:commentReference w:id="5"/>
      </w:r>
    </w:p>
    <w:p>
      <w:pPr>
        <w:spacing w:before="60" w:after="60"/>
      </w:pPr>
    </w:p>
    <w:p>
      <w:pPr>
        <w:spacing w:before="60" w:after="60"/>
      </w:pPr>
      <w:r>
        <w:rPr>
          <w:rFonts w:ascii="Arial" w:cs="Arial" w:eastAsia="Arial" w:hAnsi="Arial"/>
          <w:sz w:val="22"/>
          <w:szCs w:val="22"/>
        </w:rPr>
        <w:t xml:space="preserve">### Threat</w:t>
      </w:r>
    </w:p>
    <w:p>
      <w:pPr>
        <w:spacing w:before="60" w:after="60"/>
      </w:pPr>
    </w:p>
    <w:p>
      <w:pPr>
        <w:spacing w:before="60" w:after="60"/>
      </w:pPr>
      <w:r>
        <w:rPr>
          <w:rFonts w:ascii="Arial" w:cs="Arial" w:eastAsia="Arial" w:hAnsi="Arial"/>
          <w:sz w:val="22"/>
          <w:szCs w:val="22"/>
        </w:rPr>
        <w:t xml:space="preserve">A threat is any circumstance or event with the potential to adversely impact organizational operations and assets, individuals, or other organizations, through an information system via unauthorized access, destruction, disclosure, or modification of information, and/or denial of service.</w:t>
      </w:r>
    </w:p>
    <w:p>
      <w:pPr>
        <w:spacing w:before="60" w:after="60"/>
      </w:pPr>
    </w:p>
    <w:p>
      <w:pPr>
        <w:spacing w:before="60" w:after="60"/>
      </w:pPr>
      <w:r>
        <w:rPr>
          <w:rFonts w:ascii="Arial" w:cs="Arial" w:eastAsia="Arial" w:hAnsi="Arial"/>
          <w:sz w:val="22"/>
          <w:szCs w:val="22"/>
        </w:rPr>
        <w:t xml:space="preserve">### Vulnerability</w:t>
      </w:r>
    </w:p>
    <w:p>
      <w:pPr>
        <w:spacing w:before="60" w:after="60"/>
      </w:pPr>
    </w:p>
    <w:p>
      <w:pPr>
        <w:spacing w:before="60" w:after="60"/>
      </w:pPr>
      <w:r>
        <w:rPr>
          <w:rFonts w:ascii="Arial" w:cs="Arial" w:eastAsia="Arial" w:hAnsi="Arial"/>
          <w:sz w:val="22"/>
          <w:szCs w:val="22"/>
        </w:rPr>
        <w:t xml:space="preserve">A vulnerability is a weakness in an information system, system security procedures, internal controls, or implementation that could be exploited by a threat source.</w:t>
      </w:r>
    </w:p>
    <w:p>
      <w:pPr>
        <w:spacing w:before="60" w:after="60"/>
      </w:pPr>
    </w:p>
    <w:p>
      <w:pPr>
        <w:spacing w:before="60" w:after="60"/>
      </w:pPr>
      <w:r>
        <w:rPr>
          <w:rFonts w:ascii="Arial" w:cs="Arial" w:eastAsia="Arial" w:hAnsi="Arial"/>
          <w:sz w:val="22"/>
          <w:szCs w:val="22"/>
        </w:rPr>
        <w:t xml:space="preserve">Vulnerabilities may be identified by the following:</w:t>
      </w:r>
    </w:p>
    <w:p>
      <w:pPr>
        <w:spacing w:before="60" w:after="60"/>
      </w:pPr>
    </w:p>
    <w:p>
      <w:pPr>
        <w:pStyle w:val="ListParagraph"/>
        <w:numPr>
          <w:ilvl w:val="0"/>
          <w:numId w:val="3"/>
        </w:numPr>
        <w:spacing w:before="40" w:after="40"/>
      </w:pPr>
      <w:commentRangeStart w:id="6"/>
      <w:r>
        <w:rPr>
          <w:rFonts w:ascii="Arial" w:cs="Arial" w:eastAsia="Arial" w:hAnsi="Arial"/>
          <w:sz w:val="22"/>
          <w:szCs w:val="22"/>
        </w:rPr>
        <w:t xml:space="preserve">Vulnerability scanning and penetration tests</w:t>
      </w:r>
      <w:commentRangeEnd w:id="6"/>
      <w:r>
        <w:rPr>
          <w:rStyle w:val="CommentReference"/>
        </w:rPr>
        <w:commentReference w:id="6"/>
      </w:r>
    </w:p>
    <w:p>
      <w:pPr>
        <w:spacing w:before="60" w:after="60"/>
      </w:pPr>
    </w:p>
    <w:p>
      <w:pPr>
        <w:pStyle w:val="ListParagraph"/>
        <w:numPr>
          <w:ilvl w:val="0"/>
          <w:numId w:val="3"/>
        </w:numPr>
        <w:spacing w:before="40" w:after="40"/>
      </w:pPr>
      <w:r>
        <w:rPr>
          <w:rFonts w:ascii="Arial" w:cs="Arial" w:eastAsia="Arial" w:hAnsi="Arial"/>
          <w:sz w:val="22"/>
          <w:szCs w:val="22"/>
        </w:rPr>
        <w:t xml:space="preserve">Security control monitoring technologies</w:t>
      </w:r>
    </w:p>
    <w:p>
      <w:pPr>
        <w:spacing w:before="60" w:after="60"/>
      </w:pPr>
    </w:p>
    <w:p>
      <w:pPr>
        <w:pStyle w:val="ListParagraph"/>
        <w:numPr>
          <w:ilvl w:val="0"/>
          <w:numId w:val="3"/>
        </w:numPr>
        <w:spacing w:before="40" w:after="40"/>
      </w:pPr>
      <w:r>
        <w:rPr>
          <w:rFonts w:ascii="Arial" w:cs="Arial" w:eastAsia="Arial" w:hAnsi="Arial"/>
          <w:sz w:val="22"/>
          <w:szCs w:val="22"/>
        </w:rPr>
        <w:t xml:space="preserve">Detected patterns, heuristics, or specific activities that indicate process gaps or technical weaknesses</w:t>
      </w:r>
    </w:p>
    <w:p>
      <w:pPr>
        <w:spacing w:before="60" w:after="60"/>
      </w:pPr>
    </w:p>
    <w:p>
      <w:pPr>
        <w:pStyle w:val="ListParagraph"/>
        <w:numPr>
          <w:ilvl w:val="0"/>
          <w:numId w:val="3"/>
        </w:numPr>
        <w:spacing w:before="40" w:after="40"/>
      </w:pPr>
      <w:r>
        <w:rPr>
          <w:rFonts w:ascii="Arial" w:cs="Arial" w:eastAsia="Arial" w:hAnsi="Arial"/>
          <w:sz w:val="22"/>
          <w:szCs w:val="22"/>
        </w:rPr>
        <w:t xml:space="preserve">Internal and external audits</w:t>
      </w:r>
    </w:p>
    <w:p>
      <w:pPr>
        <w:spacing w:before="60" w:after="60"/>
      </w:pPr>
    </w:p>
    <w:p>
      <w:pPr>
        <w:pStyle w:val="ListParagraph"/>
        <w:numPr>
          <w:ilvl w:val="0"/>
          <w:numId w:val="3"/>
        </w:numPr>
        <w:spacing w:before="40" w:after="40"/>
      </w:pPr>
      <w:r>
        <w:rPr>
          <w:rFonts w:ascii="Arial" w:cs="Arial" w:eastAsia="Arial" w:hAnsi="Arial"/>
          <w:sz w:val="22"/>
          <w:szCs w:val="22"/>
        </w:rPr>
        <w:t xml:space="preserve">External security vulnerabilities databases and reports</w:t>
      </w:r>
    </w:p>
    <w:p>
      <w:pPr>
        <w:spacing w:before="60" w:after="60"/>
      </w:pPr>
    </w:p>
    <w:p>
      <w:pPr>
        <w:spacing w:before="60" w:after="60"/>
      </w:pPr>
    </w:p>
    <w:p>
      <w:pPr>
        <w:pStyle w:val="Heading2"/>
        <w:spacing w:before="200" w:after="100"/>
      </w:pPr>
      <w:r>
        <w:rPr>
          <w:rFonts w:ascii="Arial" w:cs="Arial" w:eastAsia="Arial" w:hAnsi="Arial"/>
          <w:b/>
          <w:bCs/>
          <w:sz w:val="24"/>
          <w:szCs w:val="24"/>
        </w:rPr>
        <w:t xml:space="preserve">Analyze Risks</w:t>
      </w:r>
    </w:p>
    <w:p>
      <w:pPr>
        <w:spacing w:before="60" w:after="60"/>
      </w:pPr>
    </w:p>
    <w:p>
      <w:pPr>
        <w:spacing w:before="60" w:after="60"/>
      </w:pPr>
      <w:r>
        <w:rPr>
          <w:rFonts w:ascii="Arial" w:cs="Arial" w:eastAsia="Arial" w:hAnsi="Arial"/>
          <w:sz w:val="22"/>
          <w:szCs w:val="22"/>
        </w:rPr>
        <w:t xml:space="preserve">For each risk, a risk owner has to be identified – the person or organizational unit responsible for each risk. This person may or may not be the same as the asset owner. Once risk owners have been identified, it is necessary to assess consequences for each combination of threats and vulnerabilities for an individual asset if such a risk materializes. This will be determined as follows:</w:t>
      </w:r>
    </w:p>
    <w:p>
      <w:pPr>
        <w:spacing w:before="60" w:after="60"/>
      </w:pPr>
    </w:p>
    <w:p>
      <w:pPr>
        <w:pStyle w:val="ListParagraph"/>
        <w:numPr>
          <w:ilvl w:val="0"/>
          <w:numId w:val="3"/>
        </w:numPr>
        <w:spacing w:before="40" w:after="40"/>
      </w:pPr>
      <w:commentRangeStart w:id="7"/>
      <w:r>
        <w:rPr>
          <w:rFonts w:ascii="Arial" w:cs="Arial" w:eastAsia="Arial" w:hAnsi="Arial"/>
          <w:sz w:val="22"/>
          <w:szCs w:val="22"/>
        </w:rPr>
        <w:t xml:space="preserve">Likelihood: How likely will an identified threat or vulnerability impact the organization given existing security controls?</w:t>
      </w:r>
      <w:commentRangeEnd w:id="7"/>
      <w:r>
        <w:rPr>
          <w:rStyle w:val="CommentReference"/>
        </w:rPr>
        <w:commentReference w:id="7"/>
      </w:r>
    </w:p>
    <w:p>
      <w:pPr>
        <w:spacing w:before="60" w:after="60"/>
      </w:pPr>
    </w:p>
    <w:p>
      <w:pPr>
        <w:pStyle w:val="ListParagraph"/>
        <w:numPr>
          <w:ilvl w:val="0"/>
          <w:numId w:val="3"/>
        </w:numPr>
        <w:spacing w:before="40" w:after="40"/>
      </w:pPr>
      <w:r>
        <w:rPr>
          <w:rFonts w:ascii="Arial" w:cs="Arial" w:eastAsia="Arial" w:hAnsi="Arial"/>
          <w:sz w:val="22"/>
          <w:szCs w:val="22"/>
        </w:rPr>
        <w:t xml:space="preserve">Impact: What is the cost if an identified threat or vulnerability impacts the organization given existing security controls?</w:t>
      </w:r>
    </w:p>
    <w:p>
      <w:pPr>
        <w:spacing w:before="60" w:after="60"/>
      </w:pPr>
    </w:p>
    <w:p>
      <w:pPr>
        <w:spacing w:before="60" w:after="60"/>
      </w:pPr>
    </w:p>
    <w:p>
      <w:pPr>
        <w:spacing w:before="60" w:after="60"/>
      </w:pPr>
      <w:r>
        <w:rPr>
          <w:rFonts w:ascii="Arial" w:cs="Arial" w:eastAsia="Arial" w:hAnsi="Arial"/>
          <w:sz w:val="22"/>
          <w:szCs w:val="22"/>
        </w:rPr>
        <w:t xml:space="preserve">The level of impact from a threat event is the magnitude of harm that can be expected to result from the consequences of unauthorized disclosure of information, unauthorized modification of information, unauthorized destruction of information, or loss of information or information system availability.</w:t>
      </w:r>
    </w:p>
    <w:p>
      <w:pPr>
        <w:spacing w:before="60" w:after="60"/>
      </w:pPr>
    </w:p>
    <w:p>
      <w:pPr>
        <w:spacing w:before="60" w:after="60"/>
      </w:pPr>
      <w:r>
        <w:rPr>
          <w:rFonts w:ascii="Arial" w:cs="Arial" w:eastAsia="Arial" w:hAnsi="Arial"/>
          <w:sz w:val="22"/>
          <w:szCs w:val="22"/>
        </w:rPr>
        <w:t xml:space="preserve">### Initial (or Inherent) Risk Score</w:t>
      </w:r>
    </w:p>
    <w:p>
      <w:pPr>
        <w:spacing w:before="60" w:after="60"/>
      </w:pPr>
    </w:p>
    <w:p>
      <w:pPr>
        <w:spacing w:before="60" w:after="60"/>
      </w:pPr>
      <w:r>
        <w:rPr>
          <w:rFonts w:ascii="Arial" w:cs="Arial" w:eastAsia="Arial" w:hAnsi="Arial"/>
          <w:sz w:val="22"/>
          <w:szCs w:val="22"/>
        </w:rPr>
        <w:t xml:space="preserve">After the likelihood and impact analysis, a risk determination should be made. Risk is a function of the likelihood of a threat event's occurrence and potential adverse impact should the event occur. In order to determine risk score, PolicyLift multiplies impact*likelihood. The higher number equates to higher potential risk.</w:t>
      </w:r>
    </w:p>
    <w:p>
      <w:pPr>
        <w:spacing w:before="60" w:after="60"/>
      </w:pPr>
    </w:p>
    <w:p>
      <w:pPr>
        <w:pStyle w:val="Heading2"/>
        <w:spacing w:before="200" w:after="100"/>
      </w:pPr>
      <w:r>
        <w:rPr>
          <w:rFonts w:ascii="Arial" w:cs="Arial" w:eastAsia="Arial" w:hAnsi="Arial"/>
          <w:b/>
          <w:bCs/>
          <w:sz w:val="24"/>
          <w:szCs w:val="24"/>
        </w:rPr>
        <w:t xml:space="preserve">Risk Treatment</w:t>
      </w:r>
    </w:p>
    <w:p>
      <w:pPr>
        <w:spacing w:before="60" w:after="60"/>
      </w:pPr>
    </w:p>
    <w:p>
      <w:pPr>
        <w:spacing w:before="60" w:after="60"/>
      </w:pPr>
      <w:r>
        <w:rPr>
          <w:rFonts w:ascii="Arial" w:cs="Arial" w:eastAsia="Arial" w:hAnsi="Arial"/>
          <w:sz w:val="22"/>
          <w:szCs w:val="22"/>
        </w:rPr>
        <w:t xml:space="preserve">For any critical or high risks identified during the risk assessment process, PolicyLift will immediately develop action plans to mitigate those risks which could include patching of vulnerable systems and/or applying other control activities. Risk responses shall consider obligations such as contractual agreements, laws, regulations, and standards. The following items will have to be amended or defined based on discovered risk: IT policy and strategies, risk strategies, cost-effectiveness, type of protection, threats covered, risk levels, existing alternatives, and additional benefits derived from the treatment.</w:t>
      </w:r>
    </w:p>
    <w:p>
      <w:pPr>
        <w:spacing w:before="60" w:after="60"/>
      </w:pPr>
    </w:p>
    <w:p>
      <w:pPr>
        <w:spacing w:before="60" w:after="60"/>
      </w:pPr>
      <w:r>
        <w:rPr>
          <w:rFonts w:ascii="Arial" w:cs="Arial" w:eastAsia="Arial" w:hAnsi="Arial"/>
          <w:sz w:val="22"/>
          <w:szCs w:val="22"/>
        </w:rPr>
        <w:t xml:space="preserve">There are three possible responses to risk:</w:t>
      </w:r>
    </w:p>
    <w:p>
      <w:pPr>
        <w:spacing w:before="60" w:after="60"/>
      </w:pPr>
    </w:p>
    <w:p>
      <w:pPr>
        <w:pStyle w:val="ListParagraph"/>
        <w:numPr>
          <w:ilvl w:val="0"/>
          <w:numId w:val="3"/>
        </w:numPr>
        <w:spacing w:before="40" w:after="40"/>
      </w:pPr>
      <w:commentRangeStart w:id="8"/>
      <w:r>
        <w:rPr>
          <w:rFonts w:ascii="Arial" w:cs="Arial" w:eastAsia="Arial" w:hAnsi="Arial"/>
          <w:sz w:val="22"/>
          <w:szCs w:val="22"/>
        </w:rPr>
        <w:t xml:space="preserve">Risk Mitigation: implementation of safeguards and countermeasures to reduce or eliminate vulnerabilities or threats.</w:t>
      </w:r>
      <w:commentRangeEnd w:id="8"/>
      <w:r>
        <w:rPr>
          <w:rStyle w:val="CommentReference"/>
        </w:rPr>
        <w:commentReference w:id="8"/>
      </w:r>
    </w:p>
    <w:p>
      <w:pPr>
        <w:spacing w:before="60" w:after="60"/>
      </w:pPr>
    </w:p>
    <w:p>
      <w:pPr>
        <w:pStyle w:val="ListParagraph"/>
        <w:numPr>
          <w:ilvl w:val="0"/>
          <w:numId w:val="3"/>
        </w:numPr>
        <w:spacing w:before="40" w:after="40"/>
      </w:pPr>
      <w:r>
        <w:rPr>
          <w:rFonts w:ascii="Arial" w:cs="Arial" w:eastAsia="Arial" w:hAnsi="Arial"/>
          <w:sz w:val="22"/>
          <w:szCs w:val="22"/>
        </w:rPr>
        <w:t xml:space="preserve">Risk Transfer: placement of the cost of a risk onto another entity. This is accomplished by purchasing insurance and/or outsourcing.</w:t>
      </w:r>
    </w:p>
    <w:p>
      <w:pPr>
        <w:spacing w:before="60" w:after="60"/>
      </w:pPr>
    </w:p>
    <w:p>
      <w:pPr>
        <w:pStyle w:val="ListParagraph"/>
        <w:numPr>
          <w:ilvl w:val="0"/>
          <w:numId w:val="3"/>
        </w:numPr>
        <w:spacing w:before="40" w:after="40"/>
      </w:pPr>
      <w:commentRangeStart w:id="9"/>
      <w:r>
        <w:rPr>
          <w:rFonts w:ascii="Arial" w:cs="Arial" w:eastAsia="Arial" w:hAnsi="Arial"/>
          <w:sz w:val="22"/>
          <w:szCs w:val="22"/>
        </w:rPr>
        <w:t xml:space="preserve">Risk Acceptance: valuation by PolicyLift that the cost/benefit analysis of a possible safeguard results in the determination that the cost of the countermeasure greatly outweighs the possible cost of loss due to a risk. On behalf of the risk owners, Executive Management will accept all residual risks.</w:t>
      </w:r>
      <w:commentRangeEnd w:id="9"/>
      <w:r>
        <w:rPr>
          <w:rStyle w:val="CommentReference"/>
        </w:rPr>
        <w:commentReference w:id="9"/>
      </w:r>
    </w:p>
    <w:p>
      <w:pPr>
        <w:spacing w:before="60" w:after="60"/>
      </w:pPr>
    </w:p>
    <w:p>
      <w:pPr>
        <w:spacing w:before="60" w:after="60"/>
      </w:pPr>
    </w:p>
    <w:p>
      <w:pPr>
        <w:pStyle w:val="Heading2"/>
        <w:spacing w:before="200" w:after="100"/>
      </w:pPr>
      <w:r>
        <w:rPr>
          <w:rFonts w:ascii="Arial" w:cs="Arial" w:eastAsia="Arial" w:hAnsi="Arial"/>
          <w:b/>
          <w:bCs/>
          <w:sz w:val="24"/>
          <w:szCs w:val="24"/>
        </w:rPr>
        <w:t xml:space="preserve">Key Control Activities</w:t>
      </w:r>
    </w:p>
    <w:p>
      <w:pPr>
        <w:spacing w:before="60" w:after="60"/>
      </w:pPr>
    </w:p>
    <w:p>
      <w:pPr>
        <w:pStyle w:val="ListParagraph"/>
        <w:numPr>
          <w:ilvl w:val="0"/>
          <w:numId w:val="3"/>
        </w:numPr>
        <w:spacing w:before="40" w:after="40"/>
      </w:pPr>
      <w:commentRangeStart w:id="12"/>
      <w:r>
        <w:rPr>
          <w:rFonts w:ascii="Arial" w:cs="Arial" w:eastAsia="Arial" w:hAnsi="Arial"/>
          <w:sz w:val="22"/>
          <w:szCs w:val="22"/>
        </w:rPr>
        <w:t xml:space="preserve">Formal risk assessment is conducted annually</w:t>
      </w:r>
      <w:commentRangeEnd w:id="12"/>
      <w:r>
        <w:rPr>
          <w:rStyle w:val="CommentReference"/>
        </w:rPr>
        <w:commentReference w:id="12"/>
      </w:r>
    </w:p>
    <w:p>
      <w:pPr>
        <w:spacing w:before="60" w:after="60"/>
      </w:pPr>
    </w:p>
    <w:p>
      <w:pPr>
        <w:pStyle w:val="ListParagraph"/>
        <w:numPr>
          <w:ilvl w:val="0"/>
          <w:numId w:val="3"/>
        </w:numPr>
        <w:spacing w:before="40" w:after="40"/>
      </w:pPr>
      <w:r>
        <w:rPr>
          <w:rFonts w:ascii="Arial" w:cs="Arial" w:eastAsia="Arial" w:hAnsi="Arial"/>
          <w:sz w:val="22"/>
          <w:szCs w:val="22"/>
        </w:rPr>
        <w:t xml:space="preserve">Internal/external application and network layer vulnerability scans are performed annually</w:t>
      </w:r>
    </w:p>
    <w:p>
      <w:pPr>
        <w:spacing w:before="60" w:after="60"/>
      </w:pPr>
    </w:p>
    <w:p>
      <w:pPr>
        <w:pStyle w:val="ListParagraph"/>
        <w:numPr>
          <w:ilvl w:val="0"/>
          <w:numId w:val="3"/>
        </w:numPr>
        <w:spacing w:before="40" w:after="40"/>
      </w:pPr>
      <w:commentRangeStart w:id="15"/>
      <w:r>
        <w:rPr>
          <w:rFonts w:ascii="Arial" w:cs="Arial" w:eastAsia="Arial" w:hAnsi="Arial"/>
          <w:sz w:val="22"/>
          <w:szCs w:val="22"/>
        </w:rPr>
        <w:t xml:space="preserve">Appropriate remediations are suggested and follow ups are performed to ensure that internal controls have been established to mitigate such risks. The status of all deficiencies along with residual risks that have been rated as high or critical for the organization are tracked until satisfactorily resolved.</w:t>
      </w:r>
      <w:commentRangeEnd w:id="15"/>
      <w:r>
        <w:rPr>
          <w:rStyle w:val="CommentReference"/>
        </w:rPr>
        <w:commentReference w:id="15"/>
      </w:r>
    </w:p>
    <w:p>
      <w:pPr>
        <w:spacing w:before="60" w:after="60"/>
      </w:pPr>
    </w:p>
    <w:p>
      <w:pPr>
        <w:pStyle w:val="ListParagraph"/>
        <w:numPr>
          <w:ilvl w:val="0"/>
          <w:numId w:val="3"/>
        </w:numPr>
        <w:spacing w:before="40" w:after="40"/>
      </w:pPr>
      <w:r>
        <w:rPr>
          <w:rFonts w:ascii="Arial" w:cs="Arial" w:eastAsia="Arial" w:hAnsi="Arial"/>
          <w:sz w:val="22"/>
          <w:szCs w:val="22"/>
        </w:rPr>
        <w:t xml:space="preserve">Management should review and assess the insurance needs (including cyber security insurance) on at least an annual basis</w:t>
      </w:r>
    </w:p>
    <w:p>
      <w:pPr>
        <w:spacing w:before="60" w:after="60"/>
      </w:pPr>
    </w:p>
    <w:p>
      <w:pPr>
        <w:spacing w:before="60" w:after="60"/>
      </w:pPr>
    </w:p>
    <w:p>
      <w:pPr>
        <w:pStyle w:val="Heading2"/>
        <w:spacing w:before="200" w:after="100"/>
      </w:pPr>
      <w:r>
        <w:rPr>
          <w:rFonts w:ascii="Arial" w:cs="Arial" w:eastAsia="Arial" w:hAnsi="Arial"/>
          <w:b/>
          <w:bCs/>
          <w:sz w:val="24"/>
          <w:szCs w:val="24"/>
        </w:rPr>
        <w:t xml:space="preserve">Calculate Residual Risks</w:t>
      </w:r>
    </w:p>
    <w:p>
      <w:pPr>
        <w:spacing w:before="60" w:after="60"/>
      </w:pPr>
    </w:p>
    <w:p>
      <w:pPr>
        <w:spacing w:before="60" w:after="60"/>
      </w:pPr>
      <w:commentRangeStart w:id="10"/>
      <w:r>
        <w:rPr>
          <w:rFonts w:ascii="Arial" w:cs="Arial" w:eastAsia="Arial" w:hAnsi="Arial"/>
          <w:sz w:val="22"/>
          <w:szCs w:val="22"/>
        </w:rPr>
        <w:t xml:space="preserve">Based on risk treatment decisions, plans, and net new compensating controls to be implemented, residual risks must be calculated, reassessing the respective initial risks' likelihoods and impacts.</w:t>
      </w:r>
      <w:commentRangeEnd w:id="10"/>
      <w:r>
        <w:rPr>
          <w:rStyle w:val="CommentReference"/>
        </w:rPr>
        <w:commentReference w:id="10"/>
      </w:r>
    </w:p>
    <w:p>
      <w:pPr>
        <w:spacing w:before="60" w:after="60"/>
      </w:pPr>
    </w:p>
    <w:p>
      <w:pPr>
        <w:pStyle w:val="Heading2"/>
        <w:spacing w:before="200" w:after="100"/>
      </w:pPr>
      <w:r>
        <w:rPr>
          <w:rFonts w:ascii="Arial" w:cs="Arial" w:eastAsia="Arial" w:hAnsi="Arial"/>
          <w:b/>
          <w:bCs/>
          <w:sz w:val="24"/>
          <w:szCs w:val="24"/>
        </w:rPr>
        <w:t xml:space="preserve">Reporting</w:t>
      </w:r>
    </w:p>
    <w:p>
      <w:pPr>
        <w:spacing w:before="60" w:after="60"/>
      </w:pPr>
    </w:p>
    <w:p>
      <w:pPr>
        <w:spacing w:before="60" w:after="60"/>
      </w:pPr>
      <w:commentRangeStart w:id="11"/>
      <w:r>
        <w:rPr>
          <w:rFonts w:ascii="Arial" w:cs="Arial" w:eastAsia="Arial" w:hAnsi="Arial"/>
          <w:sz w:val="22"/>
          <w:szCs w:val="22"/>
        </w:rPr>
        <w:t xml:space="preserve">PolicyLift or a designee is responsible for creating the risk assessment and treatment report and delivering results to Executive Management and other applicable personnel. This report shall include risk responses and documentation of risks that will be accepted by the organization such as threats or vulnerabilities that will likely impact the organization and with a low impact cost. All risk assessment reports must be documented.</w:t>
      </w:r>
      <w:commentRangeEnd w:id="11"/>
      <w:r>
        <w:rPr>
          <w:rStyle w:val="CommentReference"/>
        </w:rPr>
        <w:commentReference w:id="11"/>
      </w:r>
    </w:p>
    <w:p>
      <w:pPr>
        <w:spacing w:before="60" w:after="60"/>
      </w:pPr>
    </w:p>
    <w:p>
      <w:pPr>
        <w:spacing w:before="60" w:after="60"/>
      </w:pPr>
      <w:r>
        <w:rPr>
          <w:rFonts w:ascii="Arial" w:cs="Arial" w:eastAsia="Arial" w:hAnsi="Arial"/>
          <w:sz w:val="22"/>
          <w:szCs w:val="22"/>
        </w:rPr>
        <w:t xml:space="preserve">Unacceptable risks should be appropriately remediated or mitigated in accordance with the Change Management Policy.</w:t>
      </w:r>
    </w:p>
    <w:p>
      <w:pPr>
        <w:spacing w:before="60" w:after="60"/>
      </w:pPr>
    </w:p>
    <w:p>
      <w:pPr>
        <w:pStyle w:val="Heading2"/>
        <w:spacing w:before="200" w:after="100"/>
      </w:pPr>
      <w:r>
        <w:rPr>
          <w:rFonts w:ascii="Arial" w:cs="Arial" w:eastAsia="Arial" w:hAnsi="Arial"/>
          <w:b/>
          <w:bCs/>
          <w:sz w:val="24"/>
          <w:szCs w:val="24"/>
        </w:rPr>
        <w:t xml:space="preserve">Non-Compliance</w:t>
      </w:r>
    </w:p>
    <w:p>
      <w:pPr>
        <w:spacing w:before="60" w:after="60"/>
      </w:pPr>
    </w:p>
    <w:p>
      <w:pPr>
        <w:spacing w:before="60" w:after="60"/>
      </w:pPr>
      <w:commentRangeStart w:id="13"/>
      <w:r>
        <w:rPr>
          <w:rFonts w:ascii="Arial" w:cs="Arial" w:eastAsia="Arial" w:hAnsi="Arial"/>
          <w:sz w:val="22"/>
          <w:szCs w:val="22"/>
        </w:rPr>
        <w:t xml:space="preserve">Any violation of this policy or any other PolicyLift policy or procedure may result in disciplinary action, up to and including termination of employment. PolicyLift reserves the right to notify the appropriate law enforcement authorities of any unlawful activity and to cooperate in any investigation of such activity. PolicyLift does not consider conduct in violation of this policy to be within an employee's or contractor's course and scope of work.</w:t>
      </w:r>
      <w:commentRangeEnd w:id="13"/>
      <w:r>
        <w:rPr>
          <w:rStyle w:val="CommentReference"/>
        </w:rPr>
        <w:commentReference w:id="13"/>
      </w:r>
    </w:p>
    <w:p>
      <w:pPr>
        <w:spacing w:before="60" w:after="60"/>
      </w:pPr>
    </w:p>
    <w:p>
      <w:pPr>
        <w:spacing w:before="60" w:after="60"/>
      </w:pPr>
      <w:r>
        <w:rPr>
          <w:rFonts w:ascii="Arial" w:cs="Arial" w:eastAsia="Arial" w:hAnsi="Arial"/>
          <w:sz w:val="22"/>
          <w:szCs w:val="22"/>
        </w:rPr>
        <w:t xml:space="preserve">Any personnel who is requested to undertake an activity that he or she believes is in violation of this policy must provide a written or verbal complaint to his or her manager or any other manager of PolicyLift as soon as possible.</w:t>
      </w:r>
    </w:p>
    <w:p>
      <w:pPr>
        <w:spacing w:before="60" w:after="60"/>
      </w:pPr>
    </w:p>
    <w:p>
      <w:pPr>
        <w:spacing w:before="60" w:after="60"/>
      </w:pPr>
      <w:r>
        <w:rPr>
          <w:rFonts w:ascii="Arial" w:cs="Arial" w:eastAsia="Arial" w:hAnsi="Arial"/>
          <w:sz w:val="22"/>
          <w:szCs w:val="22"/>
        </w:rPr>
        <w:t xml:space="preserve">The disciplinary process should also be used as a deterrent to prevent employees and contractors from violating organizational security policies and procedures.</w:t>
      </w:r>
    </w:p>
    <w:p>
      <w:pPr>
        <w:spacing w:before="60" w:after="60"/>
      </w:pPr>
    </w:p>
    <w:p>
      <w:pPr>
        <w:pStyle w:val="Heading2"/>
        <w:spacing w:before="200" w:after="100"/>
      </w:pPr>
      <w:r>
        <w:rPr>
          <w:rFonts w:ascii="Arial" w:cs="Arial" w:eastAsia="Arial" w:hAnsi="Arial"/>
          <w:b/>
          <w:bCs/>
          <w:sz w:val="24"/>
          <w:szCs w:val="24"/>
        </w:rPr>
        <w:t xml:space="preserve">Review and Update</w:t>
      </w:r>
    </w:p>
    <w:p>
      <w:pPr>
        <w:spacing w:before="60" w:after="60"/>
      </w:pPr>
    </w:p>
    <w:p>
      <w:pPr>
        <w:spacing w:before="60" w:after="60"/>
      </w:pPr>
      <w:r>
        <w:rPr>
          <w:rFonts w:ascii="Arial" w:cs="Arial" w:eastAsia="Arial" w:hAnsi="Arial"/>
          <w:sz w:val="22"/>
          <w:szCs w:val="22"/>
        </w:rPr>
        <w:t xml:space="preserve">PolicyLift or a designee is responsible for overseeing the successful completion of the risk assessment.</w:t>
      </w:r>
    </w:p>
    <w:p>
      <w:pPr>
        <w:spacing w:before="60" w:after="60"/>
      </w:pPr>
    </w:p>
    <w:p>
      <w:pPr>
        <w:spacing w:before="60" w:after="60"/>
      </w:pPr>
      <w:commentRangeStart w:id="14"/>
      <w:r>
        <w:rPr>
          <w:rFonts w:ascii="Arial" w:cs="Arial" w:eastAsia="Arial" w:hAnsi="Arial"/>
          <w:sz w:val="22"/>
          <w:szCs w:val="22"/>
        </w:rPr>
        <w:t xml:space="preserve">PolicyLift reviews and updates its security policies and plans to maintain organizational security objectives and meet regulatory requirements at least annually. The results are shared with appropriate parties internally and findings are tracked to resolution.</w:t>
      </w:r>
      <w:commentRangeEnd w:id="14"/>
      <w:r>
        <w:rPr>
          <w:rStyle w:val="CommentReference"/>
        </w:rPr>
        <w:commentReference w:id="14"/>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4:01Z" w:initials="PR">
    <w:p w14:paraId="55D4E916" w14:textId="77777777">
      <w:r>
        <w:rPr>
          <w:rStyle w:val="CommentReference"/>
        </w:rPr>
        <w:annotationRef/>
      </w:r>
      <w:r>
        <w:rPr>
          <w:color w:val="000000"/>
          <w:sz w:val="20"/>
          <w:szCs w:val="20"/>
        </w:rPr>
        <w:t>SCOPE — Risk Assessment Scope and Applicability
What this says: Risk assessment applies to all company assets, systems, and data accessed by employees, contractors, and offshore devs.
Why it matters: SOC 2 requires clear scope definition. For PolicyLift, assets include: Supabase database, customer data, employee systems, infrastructure. Offshore devs via agency must be included.
Recommendation: Document scope in Risk Assessment Plan: (1) In-scope: Supabase Postgres DB, customer PII/payment data, employee files, development systems, offshore dev access via VPN, (2) Out-of-scope: Customer on-premise systems (if any), marketing websites. Create Asset Inventory: system name, owner, data type, criticality. Update annually. This is evidence for SOC 2 CC1.1 (risk awareness).</w:t>
      </w:r>
    </w:p>
  </w:comment>
  <w:comment w:id="1" w:author="PolicyLift Reviewer" w:date="2026-02-10T01:44:01Z" w:initials="PR">
    <w:p w14:paraId="205845F7" w14:textId="77777777">
      <w:r>
        <w:rPr>
          <w:rStyle w:val="CommentReference"/>
        </w:rPr>
        <w:annotationRef/>
      </w:r>
      <w:r>
        <w:rPr>
          <w:color w:val="000000"/>
          <w:sz w:val="20"/>
          <w:szCs w:val="20"/>
        </w:rPr>
        <w:t>ROLE — Compliance Officer Assignment and Responsibilities
What this says: A compliance officer must be designated to coordinate risk assessment process.
Why it matters: SOC 2 requires clear accountability for compliance. PolicyLift has no formal compliance officer. This must be assigned.
Recommendation: DECISION: Assign compliance officer role to: (1) CTO (technical expertise, access to systems), OR (2) Head of Operations (process/audit experience). Recommend CTO + Head of Ops co-role initially. Document in policy: ’Compliance Officer: [Name], responsible for: (1) coordinating annual risk assessment, (2) documenting findings, (3) tracking remediation, (4) reporting to RGEC.’ Update Role Assignments document.</w:t>
      </w:r>
    </w:p>
  </w:comment>
  <w:comment w:id="2" w:author="PolicyLift Reviewer" w:date="2026-02-10T01:44:01Z" w:initials="PR">
    <w:p w14:paraId="6C5502C5" w14:textId="77777777">
      <w:r>
        <w:rPr>
          <w:rStyle w:val="CommentReference"/>
        </w:rPr>
        <w:annotationRef/>
      </w:r>
      <w:r>
        <w:rPr>
          <w:color w:val="000000"/>
          <w:sz w:val="20"/>
          <w:szCs w:val="20"/>
        </w:rPr>
        <w:t>RECURRING — Annual Formal Risk Assessment
What this says: Formal risk assessment required every year, or when significant changes occur.
Why it matters: SOC 2 CC1.1 requires documented risk identification. Annual assessment is baseline compliance evidence.
Recommendation: Schedule annual risk assessment: Q1 (Jan-Mar) each year. Assign to: CISO (CTO) + CEO/Head of Ops. Process: (1) identify assets (Supabase, customer data, offshore dev access), (2) identify threats (unauthorized access, data breach, insider threat), (3) assess vulnerabilities (Delve pen test results, missing patches, weak access controls), (4) calculate risk scores, (5) document in Risk Register, (6) present to RGEC. Output: formal Risk Assessment Report (3-5 pages) signed by CISO and CEO.</w:t>
      </w:r>
    </w:p>
  </w:comment>
  <w:comment w:id="3" w:author="PolicyLift Reviewer" w:date="2026-02-10T01:44:01Z" w:initials="PR">
    <w:p w14:paraId="689E2AB0" w14:textId="77777777">
      <w:r>
        <w:rPr>
          <w:rStyle w:val="CommentReference"/>
        </w:rPr>
        <w:annotationRef/>
      </w:r>
      <w:r>
        <w:rPr>
          <w:color w:val="000000"/>
          <w:sz w:val="20"/>
          <w:szCs w:val="20"/>
        </w:rPr>
        <w:t>PROCESS — Asset Owner and Risk Owner Identification
What this says: Each asset must have an owner; each risk must have an owner responsible for mitigation.
Why it matters: SOC 2 requires accountability. Without clear ownership, risks fall through cracks.
Recommendation: Create Asset/Risk Owner Matrix (update annually): Asset: Supabase DB, Owner: CTO, Risk: unauthorized access, Risk Owner: CTO, Mitigation: MFA + VPN access logs. Asset: Customer PII, Owner: Head of Ops, Risk: exposure, Risk Owner: Head of Ops, Mitigation: encryption, access controls. Asset: Offshore dev access, Owner: CTO, Risk: credential misuse, Risk Owner: CTO + Agency Mgmt, Mitigation: audit logs, SLA review. Store in compliance folder.</w:t>
      </w:r>
    </w:p>
  </w:comment>
  <w:comment w:id="4" w:author="PolicyLift Reviewer" w:date="2026-02-10T01:44:01Z" w:initials="PR">
    <w:p w14:paraId="3A5B0EE8" w14:textId="77777777">
      <w:r>
        <w:rPr>
          <w:rStyle w:val="CommentReference"/>
        </w:rPr>
        <w:annotationRef/>
      </w:r>
      <w:r>
        <w:rPr>
          <w:color w:val="000000"/>
          <w:sz w:val="20"/>
          <w:szCs w:val="20"/>
        </w:rPr>
        <w:t>PROCESS — Risk Assessment Methodology and Review Points
What this says: Risk assessment covers: internal controls, HR practices, facility controls, theft exposure, systems/applications.
Why it matters: SOC 2 requires comprehensive risk assessment across organizational, technical, and operational domains.
Recommendation: Structure annual Risk Assessment Report to include: (1) Control Assessment (policies in place? implemented?), (2) HR Practices (background checks, onboarding, termination process), (3) Facility Controls (office access, equipment security), (4) System Controls (Supabase encryption, MFA, audit logs), (5) Vendor/Offshore Controls (SLA compliance, audit results). For each domain, identify 2-3 key risks and controls. Output: 5-page Risk Assessment covering all domains.</w:t>
      </w:r>
    </w:p>
  </w:comment>
  <w:comment w:id="5" w:author="PolicyLift Reviewer" w:date="2026-02-10T01:44:01Z" w:initials="PR">
    <w:p w14:paraId="126DF476" w14:textId="77777777">
      <w:r>
        <w:rPr>
          <w:rStyle w:val="CommentReference"/>
        </w:rPr>
        <w:annotationRef/>
      </w:r>
      <w:r>
        <w:rPr>
          <w:color w:val="000000"/>
          <w:sz w:val="20"/>
          <w:szCs w:val="20"/>
        </w:rPr>
        <w:t>COMMITMENT — Threat and Vulnerability Identification
What this says: Policy must identify and document internal and external threats/vulnerabilities to operations, assets, and reputation.
Why it matters: SOC 2 requires documented threat awareness. For PolicyLift: internal threats (disgruntled employee, offshore dev misconduct), external threats (hacker, vendor breach).
Recommendation: Create Threat/Vulnerability Inventory (annual update): Threat (external hacker attack), Vulnerability (weak Supabase password policy), Likelihood (medium), Impact (high - customer data breach), Risk Score (medium × high = high). Threat (offshore dev credential theft), Vulnerability (access via single factor auth), Likelihood (medium), Impact (critical), Risk Score (critical). Identify 5-8 key threats. Use to drive control improvements.</w:t>
      </w:r>
    </w:p>
  </w:comment>
  <w:comment w:id="6" w:author="PolicyLift Reviewer" w:date="2026-02-10T01:44:01Z" w:initials="PR">
    <w:p w14:paraId="01A0B806" w14:textId="77777777">
      <w:r>
        <w:rPr>
          <w:rStyle w:val="CommentReference"/>
        </w:rPr>
        <w:annotationRef/>
      </w:r>
      <w:r>
        <w:rPr>
          <w:color w:val="000000"/>
          <w:sz w:val="20"/>
          <w:szCs w:val="20"/>
        </w:rPr>
        <w:t>RECURRING — Vulnerability Scanning and Penetration Testing
What this says: Vulnerabilities identified via: vulnerability scans, pen tests, control monitoring, audits, external databases.
Why it matters: SOC 2 CC6.0 requires vulnerability identification. Delve annual pen test is one source; need internal scanning too.
Recommendation: PolicyLift vulnerability identification schedule: (1) Annual Delve pen test (already planned), (2) Quarterly internal vulnerability scan (CTO runs Supabase security audit, checks access logs), (3) Quarterly access control review (who still has access? do they need it?), (4) Incident log review (any suspicious activity?). For each finding, update Vulnerability Register with: date found, description, severity, status (open/mitigated), evidence. Store scan results and pen test reports in compliance folder.</w:t>
      </w:r>
    </w:p>
  </w:comment>
  <w:comment w:id="7" w:author="PolicyLift Reviewer" w:date="2026-02-10T01:44:01Z" w:initials="PR">
    <w:p w14:paraId="31EDCFBD" w14:textId="77777777">
      <w:r>
        <w:rPr>
          <w:rStyle w:val="CommentReference"/>
        </w:rPr>
        <w:annotationRef/>
      </w:r>
      <w:r>
        <w:rPr>
          <w:color w:val="000000"/>
          <w:sz w:val="20"/>
          <w:szCs w:val="20"/>
        </w:rPr>
        <w:t>PROCESS — Risk Likelihood and Impact Assessment
What this says: For each threat/vulnerability, assess: (1) Likelihood (probability of occurrence), (2) Impact (magnitude of harm).
Why it matters: SOC 2 requires risk quantification. Likelihood and Impact drive prioritization of mitigation efforts.
Recommendation: Use simple risk matrix in Risk Assessment: Likelihood scale (1-5: Remote, Low, Medium, High, Very High), Impact scale (1-5: Minimal, Low, Medium, High, Critical). For each risk: Likelihood × Impact = Risk Score. Example: Supabase breach (Likelihood 2 = Low, Impact 5 = Critical, Score = 10 = HIGH RISK). Offshore dev credential theft (Likelihood 3 = Medium, Impact 5 = Critical, Score = 15 = CRITICAL). Document scoring rationale in Risk Register.</w:t>
      </w:r>
    </w:p>
  </w:comment>
  <w:comment w:id="8" w:author="PolicyLift Reviewer" w:date="2026-02-10T01:44:01Z" w:initials="PR">
    <w:p w14:paraId="6C538E86" w14:textId="77777777">
      <w:r>
        <w:rPr>
          <w:rStyle w:val="CommentReference"/>
        </w:rPr>
        <w:annotationRef/>
      </w:r>
      <w:r>
        <w:rPr>
          <w:color w:val="000000"/>
          <w:sz w:val="20"/>
          <w:szCs w:val="20"/>
        </w:rPr>
        <w:t>COMMITMENT — Risk Mitigation Action Plans
What this says: High/critical risks require immediate development of mitigation plans (safeguards, countermeasures).
Why it matters: SOC 2 CC6.0 requires implemented controls. Risks without mitigation are compliance failures.
Recommendation: For each HIGH or CRITICAL risk, create Mitigation Plan: Risk ID, Description, Root Cause, Mitigation Strategy (prevent/detect/respond), Action Items, Owner, Target Date, Evidence of Completion. Examples: (1) Risk: Unauthorized Supabase access. Mitigation: Implement MFA + VPN + audit logging. Owner: CTO. Target: 30 days. Evidence: MFA config docs, VPN setup, log samples. (2) Risk: Offshore dev data theft. Mitigation: Agency contract SLA, quarterly access reviews, audit logs. Owner: CTO + CEO. Target: ongoing. Evidence: SLA copy, access reviews.</w:t>
      </w:r>
    </w:p>
  </w:comment>
  <w:comment w:id="9" w:author="PolicyLift Reviewer" w:date="2026-02-10T01:44:01Z" w:initials="PR">
    <w:p w14:paraId="49FB8D83" w14:textId="77777777">
      <w:r>
        <w:rPr>
          <w:rStyle w:val="CommentReference"/>
        </w:rPr>
        <w:annotationRef/>
      </w:r>
      <w:r>
        <w:rPr>
          <w:color w:val="000000"/>
          <w:sz w:val="20"/>
          <w:szCs w:val="20"/>
        </w:rPr>
        <w:t>PROCESS — Risk Acceptance Decision and Documentation
What this says: For some risks, cost of mitigation may exceed benefit; PolicyLift can accept residual risk. Executive Management must formally accept all residual risks.
Why it matters: SOC 2 requires documented risk decisions. Accepted risks must be justified and tracked.
Recommendation: Any risk accepted (not mitigated) must have: (1) Cost-Benefit Justification: ’Mitigation cost: $X, Potential loss: $Y, Decision: Accept.’ (2) RGEC Approval: RGEC discusses and approves acceptance in meeting minutes. (3) Tracking: Add to Risk Register with ’ACCEPTED’ status. Example: ’Risk: Email not encrypted end-to-end. Mitigation cost: $5K/year. Potential loss: $50K (reputational). Decision: Accept risk; implement compensating control (email archiving, compliance training).’ Justify in Risk Register.</w:t>
      </w:r>
    </w:p>
  </w:comment>
  <w:comment w:id="10" w:author="PolicyLift Reviewer" w:date="2026-02-10T01:44:01Z" w:initials="PR">
    <w:p w14:paraId="7CE3D489" w14:textId="77777777">
      <w:r>
        <w:rPr>
          <w:rStyle w:val="CommentReference"/>
        </w:rPr>
        <w:annotationRef/>
      </w:r>
      <w:r>
        <w:rPr>
          <w:color w:val="000000"/>
          <w:sz w:val="20"/>
          <w:szCs w:val="20"/>
        </w:rPr>
        <w:t>PROCESS — Residual Risk Calculation
What this says: After treatment/mitigation, recalculate risk scores reflecting new controls and residual risk.
Why it matters: SOC 2 requires understanding of what risks remain after controls. Residual risk shows effectiveness of mitigation.
Recommendation: Residual Risk Calculation: For each mitigated risk, recalculate Likelihood and Impact after controls implemented. Example: (Original Risk) Unauthorized Supabase access: Likelihood 3 (Medium), Impact 5 (Critical), Score 15 (CRITICAL). (Mitigation) Implement MFA + VPN + audit logs. (Residual Risk) Likelihood 1 (Low - hard to bypass MFA), Impact 5 (Critical), Score 5 (MEDIUM). Document both scores in Risk Register. Residual risk should be ≤ Risk Appetite. Report to RGEC quarterly.</w:t>
      </w:r>
    </w:p>
  </w:comment>
  <w:comment w:id="11" w:author="PolicyLift Reviewer" w:date="2026-02-10T01:44:01Z" w:initials="PR">
    <w:p w14:paraId="7C124448" w14:textId="77777777">
      <w:r>
        <w:rPr>
          <w:rStyle w:val="CommentReference"/>
        </w:rPr>
        <w:annotationRef/>
      </w:r>
      <w:r>
        <w:rPr>
          <w:color w:val="000000"/>
          <w:sz w:val="20"/>
          <w:szCs w:val="20"/>
        </w:rPr>
        <w:t>EVIDENCE — Risk Assessment and Treatment Report
What this says: Compliance officer/designee creates formal Risk Assessment Report; delivers to Executive Management and RGEC.
Why it matters: SOC 2 requires documented risk assessment evidence. Report is auditable proof of compliance.
Recommendation: Annual Risk Assessment Report (template): (1) Executive Summary (key risks, mitigation status), (2) Asset Inventory, (3) Threat &amp; Vulnerability Identification, (4) Risk Scoring (5-8 key risks with likelihood/impact), (5) Mitigation Plans (for HIGH/CRITICAL), (6) Residual Risk Assessment, (7) Accepted Risks (with justification), (8) Compliance Posture (% risks mitigated, % residual within appetite), (9) Recommendations for next year. Report signed by: Compliance Officer, CEO, CTO. Store in compliance folder with version date. Provide to SOC 2 auditor.</w:t>
      </w:r>
    </w:p>
  </w:comment>
  <w:comment w:id="12" w:author="PolicyLift Reviewer" w:date="2026-02-10T01:44:01Z" w:initials="PR">
    <w:p w14:paraId="28417DA1" w14:textId="77777777">
      <w:r>
        <w:rPr>
          <w:rStyle w:val="CommentReference"/>
        </w:rPr>
        <w:annotationRef/>
      </w:r>
      <w:r>
        <w:rPr>
          <w:color w:val="000000"/>
          <w:sz w:val="20"/>
          <w:szCs w:val="20"/>
        </w:rPr>
        <w:t>RECURRING — Key Control Activities Schedule
What this says: Policy requires: (1) annual formal risk assessment, (2) annual internal/external vulnerability scans, (3) remediation follow-up, (4) annual insurance review.
Why it matters: SOC 2 requires documented, recurring control activities. These are key compliance evidence.
Recommendation: Create Annual Compliance Calendar (track in project management tool or spreadsheet): (1) Q1: Risk Assessment (Jan-Mar), (2) Q1/Q3: RGEC meetings, (3) Q2: Vulnerability Scans (Apr-Jun), (4) Q2: Delve Pen Test (May-Jun), (5) Q4: Audit review &amp; follow-up, (6) Q4: Insurance review &amp; renewal, (7) Q4: Policy review &amp; update. For each activity, assign owner, track completion, store evidence. Report status to RGEC quarterly.</w:t>
      </w:r>
    </w:p>
  </w:comment>
  <w:comment w:id="13" w:author="PolicyLift Reviewer" w:date="2026-02-10T01:44:01Z" w:initials="PR">
    <w:p w14:paraId="4CDF45D6" w14:textId="77777777">
      <w:r>
        <w:rPr>
          <w:rStyle w:val="CommentReference"/>
        </w:rPr>
        <w:annotationRef/>
      </w:r>
      <w:r>
        <w:rPr>
          <w:color w:val="000000"/>
          <w:sz w:val="20"/>
          <w:szCs w:val="20"/>
        </w:rPr>
        <w:t>COMMITMENT — Policy Violation Consequences
What this says: Non-compliance with Risk Assessment Policy or other policies results in discipline up to termination.
Why it matters: SOC 2 requires accountability for policy adherence. Enforcement demonstrates management commitment.
Recommendation: Document enforcement examples: (1) Employee fails to report vulnerability: verbal warning + retraining. (2) Employee disables audit logs: written warning + access review. (3) Employee ignores risk mitigation directive: suspension or termination. Document any actual enforcement in discipline log (personnel file). For offshore devs, violations escalate to agency management per SLA. Ensure policy is acknowledged by all staff during onboarding.</w:t>
      </w:r>
    </w:p>
  </w:comment>
  <w:comment w:id="14" w:author="PolicyLift Reviewer" w:date="2026-02-10T01:44:01Z" w:initials="PR">
    <w:p w14:paraId="2DA9DB8B" w14:textId="77777777">
      <w:r>
        <w:rPr>
          <w:rStyle w:val="CommentReference"/>
        </w:rPr>
        <w:annotationRef/>
      </w:r>
      <w:r>
        <w:rPr>
          <w:color w:val="000000"/>
          <w:sz w:val="20"/>
          <w:szCs w:val="20"/>
        </w:rPr>
        <w:t>RECURRING — Annual Policy Review and Update
What this says: All security policies and plans must be reviewed and updated annually; results shared internally and tracked to resolution.
Why it matters: SOC 2 requires policies to stay current with business/threat environment. Stale policies fail audits.
Recommendation: Schedule annual policy review: Q4 (Oct-Dec) each year. Review schedule: (1) Risk Assessment Policy (this one), (2) Vendor Management Policy, (3) Handbook policies, (4) Access Control Policy, (5) Incident Response Policy. For each policy, update: version number, effective date, changes from prior version. Document: what changed, why, who approved. Get CEO/CTO approval. Store updated policies in /compliance/policies/ with version history. Report to RGEC and SOC 2 auditor.</w:t>
      </w:r>
    </w:p>
  </w:comment>
  <w:comment w:id="15" w:author="PolicyLift Reviewer" w:date="2026-02-10T01:44:01Z" w:initials="PR">
    <w:p w14:paraId="436DBD2D" w14:textId="77777777">
      <w:r>
        <w:rPr>
          <w:rStyle w:val="CommentReference"/>
        </w:rPr>
        <w:annotationRef/>
      </w:r>
      <w:r>
        <w:rPr>
          <w:color w:val="000000"/>
          <w:sz w:val="20"/>
          <w:szCs w:val="20"/>
        </w:rPr>
        <w:t>PROCESS — Remediation and Follow-Up Tracking
Why it matters: SOC 2 requires demonstrated closure of findings. Open remediation items without resolution are compliance failures.
What this says: For all vulnerability/risk findings, remediation is suggested and tracked until resolved.
Recommendation: Create Remediation Tracker (update quarterly): Vulnerability/Finding, Date Found, Severity, Remediation Action, Owner, Target Date, Actual Completion Date, Evidence. Example: (1) Delve Pen Test Finding: ’SSH key stored in code repository.’ Remediation: ’Rotate key, move to secrets vault.’ Owner: CTO. Target: 14 days. Evidence: commit log showing key removal, secrets vault config. (2) Quarterly Access Review Finding: ’Inactive user still has access.’ Remediation: ’Disable account.’ Owner: Head of Ops. Target: 3 days. Evidence: access log showing disable. Track in spreadsheet; report to RGEC quarterly.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D4E916" w15:done="0"/>
  <w15:commentEx w15:paraId="205845F7" w15:done="0"/>
  <w15:commentEx w15:paraId="6C5502C5" w15:done="0"/>
  <w15:commentEx w15:paraId="689E2AB0" w15:done="0"/>
  <w15:commentEx w15:paraId="3A5B0EE8" w15:done="0"/>
  <w15:commentEx w15:paraId="126DF476" w15:done="0"/>
  <w15:commentEx w15:paraId="01A0B806" w15:done="0"/>
  <w15:commentEx w15:paraId="31EDCFBD" w15:done="0"/>
  <w15:commentEx w15:paraId="6C538E86" w15:done="0"/>
  <w15:commentEx w15:paraId="49FB8D83" w15:done="0"/>
  <w15:commentEx w15:paraId="7CE3D489" w15:done="0"/>
  <w15:commentEx w15:paraId="7C124448" w15:done="0"/>
  <w15:commentEx w15:paraId="28417DA1" w15:done="0"/>
  <w15:commentEx w15:paraId="4CDF45D6" w15:done="0"/>
  <w15:commentEx w15:paraId="2DA9DB8B" w15:done="0"/>
  <w15:commentEx w15:paraId="436DBD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D677DA4" w16cex:dateUtc="2026-02-10T01:44:01Z"/>
  <w16cex:commentExtensible w16cex:durableId="0FCB1AC2" w16cex:dateUtc="2026-02-10T01:44:01Z"/>
  <w16cex:commentExtensible w16cex:durableId="5C675300" w16cex:dateUtc="2026-02-10T01:44:01Z"/>
  <w16cex:commentExtensible w16cex:durableId="3DF0B5A9" w16cex:dateUtc="2026-02-10T01:44:01Z"/>
  <w16cex:commentExtensible w16cex:durableId="533E96A6" w16cex:dateUtc="2026-02-10T01:44:01Z"/>
  <w16cex:commentExtensible w16cex:durableId="33B5C441" w16cex:dateUtc="2026-02-10T01:44:01Z"/>
  <w16cex:commentExtensible w16cex:durableId="66D549A9" w16cex:dateUtc="2026-02-10T01:44:01Z"/>
  <w16cex:commentExtensible w16cex:durableId="4E9F37CB" w16cex:dateUtc="2026-02-10T01:44:01Z"/>
  <w16cex:commentExtensible w16cex:durableId="1824B776" w16cex:dateUtc="2026-02-10T01:44:01Z"/>
  <w16cex:commentExtensible w16cex:durableId="162AB91F" w16cex:dateUtc="2026-02-10T01:44:01Z"/>
  <w16cex:commentExtensible w16cex:durableId="58A6CEAF" w16cex:dateUtc="2026-02-10T01:44:01Z"/>
  <w16cex:commentExtensible w16cex:durableId="552693C5" w16cex:dateUtc="2026-02-10T01:44:01Z"/>
  <w16cex:commentExtensible w16cex:durableId="0D51BE8F" w16cex:dateUtc="2026-02-10T01:44:01Z"/>
  <w16cex:commentExtensible w16cex:durableId="2FB5F345" w16cex:dateUtc="2026-02-10T01:44:01Z"/>
  <w16cex:commentExtensible w16cex:durableId="1F8DBB0E" w16cex:dateUtc="2026-02-10T01:44:01Z"/>
  <w16cex:commentExtensible w16cex:durableId="0E7953E3" w16cex:dateUtc="2026-02-10T01:44:0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D4E916" w16cid:durableId="3D677DA4"/>
  <w16cid:commentId w16cid:paraId="205845F7" w16cid:durableId="0FCB1AC2"/>
  <w16cid:commentId w16cid:paraId="6C5502C5" w16cid:durableId="5C675300"/>
  <w16cid:commentId w16cid:paraId="689E2AB0" w16cid:durableId="3DF0B5A9"/>
  <w16cid:commentId w16cid:paraId="3A5B0EE8" w16cid:durableId="533E96A6"/>
  <w16cid:commentId w16cid:paraId="126DF476" w16cid:durableId="33B5C441"/>
  <w16cid:commentId w16cid:paraId="01A0B806" w16cid:durableId="66D549A9"/>
  <w16cid:commentId w16cid:paraId="31EDCFBD" w16cid:durableId="4E9F37CB"/>
  <w16cid:commentId w16cid:paraId="6C538E86" w16cid:durableId="1824B776"/>
  <w16cid:commentId w16cid:paraId="49FB8D83" w16cid:durableId="162AB91F"/>
  <w16cid:commentId w16cid:paraId="7CE3D489" w16cid:durableId="58A6CEAF"/>
  <w16cid:commentId w16cid:paraId="7C124448" w16cid:durableId="552693C5"/>
  <w16cid:commentId w16cid:paraId="28417DA1" w16cid:durableId="0D51BE8F"/>
  <w16cid:commentId w16cid:paraId="4CDF45D6" w16cid:durableId="2FB5F345"/>
  <w16cid:commentId w16cid:paraId="2DA9DB8B" w16cid:durableId="1F8DBB0E"/>
  <w16cid:commentId w16cid:paraId="436DBD2D" w16cid:durableId="0E7953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2026-02-10T01:44:00.719Z</dcterms:created>
  <dcterms:modified xsi:type="dcterms:W3CDTF">2026-02-10T01:44:00.719Z</dcterms:modified>
</cp:coreProperties>
</file>

<file path=docProps/custom.xml><?xml version="1.0" encoding="utf-8"?>
<Properties xmlns="http://schemas.openxmlformats.org/officeDocument/2006/custom-properties" xmlns:vt="http://schemas.openxmlformats.org/officeDocument/2006/docPropsVTypes"/>
</file>