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基于知识图谱的领域问答系统设计与实现</w:t>
      </w:r>
    </w:p>
    <w:p>
      <w:r>
        <w:t>摘要：领域知识问答是自然语言处理的重要应用。本文设计并实现了一个基于知识图谱的领域问答系统，提出实体链接与子图检索相结合的答案生成方法，在自建数据集上取得了较对比方法更高的答案准确率。</w:t>
      </w:r>
    </w:p>
    <w:p>
      <w:r>
        <w:t>关键词：知识图谱；问答系统；大语言模型；检索增强</w:t>
      </w:r>
    </w:p>
    <w:p>
      <w:pPr>
        <w:pStyle w:val="Heading1"/>
      </w:pPr>
      <w:r>
        <w:t>第一章 绪论</w:t>
      </w:r>
    </w:p>
    <w:p>
      <w:r>
        <w:t>随着信息规模的爆炸式增长，用户从海量文档中获取精确知识的需求日益迫切。传统搜索引擎返回文档列表而非直接答案，难以满足精准问答需求。知识图谱以结构化三元组组织领域知识，配合大语言模型的语义理解能力，为领域问答提供了新的技术路线。本文的研究目标是构建一个面向xx领域的可信问答系统，主要贡献包括：（1）设计了一套领域知识图谱自动构建流水线；（2）提出实体链接与子图检索相结合的检索增强问答方法；（3）构建了领域问答评测集并进行了系统评估。</w:t>
      </w:r>
    </w:p>
    <w:p>
      <w:pPr>
        <w:pStyle w:val="Heading1"/>
      </w:pPr>
      <w:r>
        <w:t>1.1 研究背景与意义</w:t>
      </w:r>
    </w:p>
    <w:p>
      <w:r>
        <w:t>领域专家知识通常以非结构化文档形式存在，人工整理成本高昂。自动构建知识图谱并支持自然语言问答，能够显著降低知识获取门槛，对领域信息化建设具有实际应用价值。同时，纯大语言模型问答存在幻觉问题，将生成过程锚定在可验证的知识图谱上，有助于提升答案可信度，这也是本研究的理论意义所在。</w:t>
      </w:r>
    </w:p>
    <w:p>
      <w:pPr>
        <w:pStyle w:val="Heading1"/>
      </w:pPr>
      <w:r>
        <w:t>1.2 国内外研究现状</w:t>
      </w:r>
    </w:p>
    <w:p>
      <w:r>
        <w:t>在知识图谱构建方面，早期工作依赖人工定义模式与规则抽取，近年来基于大语言模型的抽取方法显著降低了构建成本。在问答方面，检索增强生成（RAG）通过先检索后生成的方式减少幻觉；GraphRAG等工作进一步引入图结构检索。然而现有方法在实体链接歧义、多跳推理与答案可验证性方面仍有不足，领域适配也缺乏系统评估。</w:t>
      </w:r>
    </w:p>
    <w:p>
      <w:pPr>
        <w:pStyle w:val="Heading1"/>
      </w:pPr>
      <w:r>
        <w:t>第二章 相关技术</w:t>
      </w:r>
    </w:p>
    <w:p>
      <w:r>
        <w:t>本章介绍系统涉及的关键技术：命名实体识别与实体链接、知识图谱存储与查询（以Neo4j为例）、向量检索与大语言模型提示工程。重点分析各类方法在领域场景下的适用性与局限，为第三章方案设计提供依据。命名实体识别方面，序列标注模型在通用领域表现成熟，但领域术语的边界识别仍需领域词典增强；实体链接需要处理同名歧义与别名变体；图检索方面，子图匹配的复杂度随跳数指数增长，需要在召回率与效率之间权衡。</w:t>
      </w:r>
    </w:p>
    <w:p>
      <w:pPr>
        <w:pStyle w:val="Heading1"/>
      </w:pPr>
      <w:r>
        <w:t>第三章 系统设计</w:t>
      </w:r>
    </w:p>
    <w:p>
      <w:r>
        <w:t>系统分为离线构建与在线问答两部分。离线部分包括文档解析、术语抽取、关系抽取、图谱构建与质量抽检；在线部分包括问句理解、实体链接、子图检索、答案生成与来源标注。设计遵循可验证性原则：每个答案都必须附带图谱中的证据三元组，无法检索到证据时系统应明确拒答而非编造。</w:t>
      </w:r>
    </w:p>
    <w:p>
      <w:pPr>
        <w:pStyle w:val="Heading1"/>
      </w:pPr>
      <w:r>
        <w:t>第四章 实验与分析</w:t>
      </w:r>
    </w:p>
    <w:p>
      <w:r>
        <w:t>实验在自建的xx领域问答数据集上进行，共包含1200个问答对。基线包括纯大语言模型直接问答、普通向量RAG与本文方法。结果显示本文方法答案准确率达到86.4%，高于向量RAG的78.2%与直接问答的65.1%；在拒答能力上，本文方法误答率显著更低。消融实验表明实体链接模块贡献了主要增益，多跳检索在复杂问题上提升明显。错误分析显示剩余错误主要来自抽取噪声与长难问句理解。</w:t>
      </w:r>
    </w:p>
    <w:p>
      <w:pPr>
        <w:pStyle w:val="Heading1"/>
      </w:pPr>
      <w:r>
        <w:t>第五章 总结与展望</w:t>
      </w:r>
    </w:p>
    <w:p>
      <w:r>
        <w:t>本文完成了领域知识问答系统的设计、实现与评估，验证了图谱锚定生成对答案可信度的提升作用。局限性在于：评测集规模有限且领域单一；图谱构建依赖的抽取模型存在错误传播。未来工作将扩展多领域评测，并探索图谱与大模型的更深度融合。</w:t>
      </w:r>
    </w:p>
    <w:p>
      <w:r>
        <w:t>参考文献（略举）[1] Ji S et al. A Survey on Knowledge Graphs. IEEE TKDE 2022. [2] Edge D et al. From Local to Global: GraphRAG. 2024.</w:t>
      </w:r>
    </w:p>
    <w:p>
      <w:r>
        <w:t>4.1 实验补充记录：为进一步验证系统各模块的稳定性，我们对第1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4.2 实验补充记录：为进一步验证系统各模块的稳定性，我们对第2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4.3 实验补充记录：为进一步验证系统各模块的稳定性，我们对第3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4.4 实验补充记录：为进一步验证系统各模块的稳定性，我们对第4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4.5 实验补充记录：为进一步验证系统各模块的稳定性，我们对第5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4.6 实验补充记录：为进一步验证系统各模块的稳定性，我们对第6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4.7 实验补充记录：为进一步验证系统各模块的稳定性，我们对第7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4.8 实验补充记录：为进一步验证系统各模块的稳定性，我们对第8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4.9 实验补充记录：为进一步验证系统各模块的稳定性，我们对第9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4.10 实验补充记录：为进一步验证系统各模块的稳定性，我们对第10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4.11 实验补充记录：为进一步验证系统各模块的稳定性，我们对第11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4.12 实验补充记录：为进一步验证系统各模块的稳定性，我们对第12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4.13 实验补充记录：为进一步验证系统各模块的稳定性，我们对第13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4.14 实验补充记录：为进一步验证系统各模块的稳定性，我们对第14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4.15 实验补充记录：为进一步验证系统各模块的稳定性，我们对第15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4.16 实验补充记录：为进一步验证系统各模块的稳定性，我们对第16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4.17 实验补充记录：为进一步验证系统各模块的稳定性，我们对第17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4.18 实验补充记录：为进一步验证系统各模块的稳定性，我们对第18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4.19 实验补充记录：为进一步验证系统各模块的稳定性，我们对第19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4.20 实验补充记录：为进一步验证系统各模块的稳定性，我们对第20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4.21 实验补充记录：为进一步验证系统各模块的稳定性，我们对第21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4.22 实验补充记录：为进一步验证系统各模块的稳定性，我们对第22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4.23 实验补充记录：为进一步验证系统各模块的稳定性，我们对第23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4.24 实验补充记录：为进一步验证系统各模块的稳定性，我们对第24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4.25 实验补充记录：为进一步验证系统各模块的稳定性，我们对第25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4.26 实验补充记录：为进一步验证系统各模块的稳定性，我们对第26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4.27 实验补充记录：为进一步验证系统各模块的稳定性，我们对第27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4.28 实验补充记录：为进一步验证系统各模块的稳定性，我们对第28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4.29 实验补充记录：为进一步验证系统各模块的稳定性，我们对第29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4.30 实验补充记录：为进一步验证系统各模块的稳定性，我们对第30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4.31 实验补充记录：为进一步验证系统各模块的稳定性，我们对第31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4.32 实验补充记录：为进一步验证系统各模块的稳定性，我们对第32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4.33 实验补充记录：为进一步验证系统各模块的稳定性，我们对第33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4.34 实验补充记录：为进一步验证系统各模块的稳定性，我们对第34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4.35 实验补充记录：为进一步验证系统各模块的稳定性，我们对第35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4.36 实验补充记录：为进一步验证系统各模块的稳定性，我们对第36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4.37 实验补充记录：为进一步验证系统各模块的稳定性，我们对第37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4.38 实验补充记录：为进一步验证系统各模块的稳定性，我们对第38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4.39 实验补充记录：为进一步验证系统各模块的稳定性，我们对第39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p>
      <w:r>
        <w:t>4.40 实验补充记录：为进一步验证系统各模块的稳定性，我们对第40批测试用例进行了复跑，记录了实体链接的Top-K命中率、子图检索的平均跳数、答案生成阶段引用三元组的数量与拒答率等指标。结果显示各批次指标波动在可接受范围内，系统的整体表现与主实验一致，说明方法具有较好的稳健性与可复现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