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І рівень</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Вимоги для тестування Power Bank за критеріями:</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атомарність;</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тестованість;</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несуперечність;</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відстежуваність.</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Підтримка технології Quick Charge 3.0.</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Матеріалом корпусу повинен бути алюміній.</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Наявність LED-індикатора заряду з 4 лампочками.</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Наявність одного входу Type-C.</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Об`єм акумулятора повинен бути 20000 mAh.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ІІ рівень</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На мою думку, найбільш ефективною технікою тестування вимог є графічна візуалізація та прототипування. Це пов'язано з тим, що людина краще сприймає і аналізує інформацію саме візуально. Якщо інші техніки напряму залежать від людського фактору, то дана методика дає можливість знайти більше недоліків та неточностей саме завдяки графічним методам. Окремо потрібно виділити матрицю відстеження вимог, за допомогою якої можна відслідковувати вимоги та забезпечити досягнення адекватного рівня тестування для кожної з них.</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ІІІ рівень</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165"/>
        <w:gridCol w:w="615"/>
        <w:gridCol w:w="4035"/>
        <w:tblGridChange w:id="0">
          <w:tblGrid>
            <w:gridCol w:w="1200"/>
            <w:gridCol w:w="3165"/>
            <w:gridCol w:w="615"/>
            <w:gridCol w:w="4035"/>
          </w:tblGrid>
        </w:tblGridChange>
      </w:tblGrid>
      <w:tr>
        <w:trPr>
          <w:cantSplit w:val="0"/>
          <w:trHeight w:val="4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Додаток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Функціональні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Нефункціональні</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пошук користувача по нік-нейму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виведення результатів повинно виконуватись за 2 секунди</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 переході на сторінку іншого користувача повинна бути кнопка “відстежувати”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після натиснення на кнопку “відстежувати”, текст повинен змінитися на “відстежується” та колір кнопки повинен стати прозорим, тобто має залишитись лише текст</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можливість створення чату з іншими користувачами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максимальна кількість користувачів в чаті не повинна перевищувати 100 учасників</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під кожним фото має бути можливість поставити лайк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 натисненні на кнопку, колір повинен змінитися з білого на червоний</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можливість зробити профіль приватним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інформація про приватний акаунт повинна бути доступна лише підписникам даної сторінки</w:t>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можливість зробити фото та відео прямо з додатку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камера повинна відкриватися за 1 секунду</w:t>
            </w:r>
          </w:p>
        </w:tc>
      </w:tr>
    </w:tbl>
    <w:p w:rsidR="00000000" w:rsidDel="00000000" w:rsidP="00000000" w:rsidRDefault="00000000" w:rsidRPr="00000000" w14:paraId="00000041">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