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ReCall</w:t>
      </w:r>
    </w:p>
    <w:p>
      <w:pPr>
        <w:spacing w:after="60"/>
        <w:jc w:val="center"/>
      </w:pPr>
      <w:r>
        <w:rPr>
          <w:rFonts w:ascii="Arial" w:cs="Arial" w:eastAsia="Arial" w:hAnsi="Arial"/>
          <w:b/>
          <w:bCs/>
          <w:sz w:val="30"/>
          <w:szCs w:val="30"/>
        </w:rPr>
        <w:t xml:space="preserve">AI Capability Scan</w:t>
      </w:r>
    </w:p>
    <w:p>
      <w:pPr>
        <w:spacing w:after="80"/>
        <w:jc w:val="center"/>
      </w:pPr>
      <w:r>
        <w:rPr>
          <w:rFonts w:ascii="Arial" w:cs="Arial" w:eastAsia="Arial" w:hAnsi="Arial"/>
          <w:i/>
          <w:iCs/>
          <w:color w:val="555555"/>
          <w:sz w:val="22"/>
          <w:szCs w:val="22"/>
        </w:rPr>
        <w:t xml:space="preserve">Post-MVP Session — Anika, Alex, Maya, Dr. Carter, Yuki</w:t>
      </w:r>
    </w:p>
    <w:p>
      <w:pPr>
        <w:spacing w:after="320"/>
        <w:jc w:val="center"/>
      </w:pPr>
      <w:r>
        <w:rPr>
          <w:rFonts w:ascii="Arial" w:cs="Arial" w:eastAsia="Arial" w:hAnsi="Arial"/>
          <w:i/>
          <w:iCs/>
          <w:color w:val="555555"/>
          <w:sz w:val="20"/>
          <w:szCs w:val="20"/>
        </w:rPr>
        <w:t xml:space="preserve">April 16, 2026  ·  Prepared for Tanya Angadi  ·  Dr. Aria Bennett</w:t>
      </w:r>
    </w:p>
    <w:p>
      <w:pPr>
        <w:pStyle w:val="Heading1"/>
        <w:spacing w:after="160" w:before="280"/>
      </w:pPr>
      <w:r>
        <w:rPr>
          <w:rFonts w:ascii="Arial" w:cs="Arial" w:eastAsia="Arial" w:hAnsi="Arial"/>
          <w:b/>
          <w:bCs/>
          <w:color w:val="1F3864"/>
          <w:sz w:val="32"/>
          <w:szCs w:val="32"/>
        </w:rPr>
        <w:t xml:space="preserve">Executive Summary</w:t>
      </w:r>
    </w:p>
    <w:p>
      <w:pPr>
        <w:spacing w:after="120" w:line="276"/>
        <w:jc w:val="left"/>
      </w:pPr>
      <w:r>
        <w:rPr>
          <w:rFonts w:ascii="Arial" w:cs="Arial" w:eastAsia="Arial" w:hAnsi="Arial"/>
          <w:b w:val="false"/>
          <w:bCs w:val="false"/>
          <w:i w:val="false"/>
          <w:iCs w:val="false"/>
          <w:color w:val="000000"/>
          <w:sz w:val="22"/>
          <w:szCs w:val="22"/>
        </w:rPr>
        <w:t xml:space="preserve">This scan asks a different question than the Unified Needs analysis. There we asked “what do Margaret, Priya, and Elena need?” Here we ask “what just became possible with AI, and how does that map back to the needs list?” Capability-first ideation surfaces delighters that demand-first interviews rarely produce.</w:t>
      </w:r>
    </w:p>
    <w:p>
      <w:pPr>
        <w:spacing w:after="120" w:line="276"/>
        <w:jc w:val="left"/>
      </w:pPr>
      <w:r>
        <w:rPr>
          <w:rFonts w:ascii="Arial" w:cs="Arial" w:eastAsia="Arial" w:hAnsi="Arial"/>
          <w:b w:val="false"/>
          <w:bCs w:val="false"/>
          <w:i w:val="false"/>
          <w:iCs w:val="false"/>
          <w:color w:val="000000"/>
          <w:sz w:val="22"/>
          <w:szCs w:val="22"/>
        </w:rPr>
        <w:t xml:space="preserve">Fourteen capabilities were evaluated. Eight are classified Adopt (verified shipping, clear ReCall fit), three are Watch (real but reliability or clinical-validation gaps make near-term deployment risky), and three are Reject-or-Defer (unverified as consumer-grade, closed to developers, or clinically contraindicated). Nothing in this document describes a capability that does not have a named, citable, shipping commercial product or peer-reviewed demonstration as of April 2026.</w:t>
      </w:r>
    </w:p>
    <w:p>
      <w:pPr>
        <w:spacing w:after="120" w:line="276"/>
        <w:jc w:val="left"/>
      </w:pPr>
      <w:r>
        <w:rPr>
          <w:rFonts w:ascii="Arial" w:cs="Arial" w:eastAsia="Arial" w:hAnsi="Arial"/>
          <w:b w:val="false"/>
          <w:bCs w:val="false"/>
          <w:i w:val="false"/>
          <w:iCs w:val="false"/>
          <w:color w:val="000000"/>
          <w:sz w:val="22"/>
          <w:szCs w:val="22"/>
        </w:rPr>
        <w:t xml:space="preserve">Four MVP architectural implications fall out of this scan: choose a multimodal vision-language vendor now (not a plain classifier); back natural-language search with embeddings (not keywords); architect so on-device inference is additive later (not a rewrite); and establish consent scaffolding for voice cloning even if the feature doesn’t ship in MVP. If you lock these decisions into the summer-2026 build, every Phase 2 and Phase 3 AI delighter sits on a compatible foundation.</w:t>
      </w:r>
    </w:p>
    <w:p>
      <w:pPr>
        <w:spacing w:after="120" w:line="276"/>
        <w:jc w:val="left"/>
      </w:pPr>
      <w:r>
        <w:rPr>
          <w:rFonts w:ascii="Arial" w:cs="Arial" w:eastAsia="Arial" w:hAnsi="Arial"/>
          <w:b w:val="false"/>
          <w:bCs w:val="false"/>
          <w:i w:val="false"/>
          <w:iCs w:val="false"/>
          <w:color w:val="000000"/>
          <w:sz w:val="22"/>
          <w:szCs w:val="22"/>
        </w:rPr>
        <w:t xml:space="preserve">The scan also corrects three items in the competitive analysis — Samsung Brain Health and Apple × Lilly claims were overstated, and three 2025–2026 dementia-AI products (Pensieve-AI, Lenovo Alzheimer’s Avatar, CareYaya MedaCareLLM) were missed. A short “Competitive Analysis Errata” section at the end logs these.</w:t>
      </w:r>
    </w:p>
    <w:p>
      <w:pPr>
        <w:pStyle w:val="Heading1"/>
        <w:spacing w:after="160" w:before="280"/>
      </w:pPr>
      <w:r>
        <w:rPr>
          <w:rFonts w:ascii="Arial" w:cs="Arial" w:eastAsia="Arial" w:hAnsi="Arial"/>
          <w:b/>
          <w:bCs/>
          <w:color w:val="1F3864"/>
          <w:sz w:val="32"/>
          <w:szCs w:val="32"/>
        </w:rPr>
        <w:t xml:space="preserve">Method &amp; Guardrails</w:t>
      </w:r>
    </w:p>
    <w:p>
      <w:pPr>
        <w:pStyle w:val="Heading3"/>
        <w:spacing w:after="80" w:before="180"/>
      </w:pPr>
      <w:r>
        <w:rPr>
          <w:rFonts w:ascii="Arial" w:cs="Arial" w:eastAsia="Arial" w:hAnsi="Arial"/>
          <w:b/>
          <w:bCs/>
          <w:color w:val="1F3864"/>
          <w:sz w:val="23"/>
          <w:szCs w:val="23"/>
        </w:rPr>
        <w:t xml:space="preserve">Panel</w:t>
      </w:r>
    </w:p>
    <w:p>
      <w:pPr>
        <w:pStyle w:val="ListParagraph"/>
        <w:numPr>
          <w:ilvl w:val="0"/>
          <w:numId w:val="2"/>
        </w:numPr>
        <w:spacing w:after="80" w:line="276"/>
      </w:pPr>
      <w:r>
        <w:rPr>
          <w:rFonts w:ascii="Arial" w:cs="Arial" w:eastAsia="Arial" w:hAnsi="Arial"/>
          <w:b/>
          <w:bCs/>
          <w:sz w:val="22"/>
          <w:szCs w:val="22"/>
        </w:rPr>
        <w:t xml:space="preserve">Anika Sharma (CTO) </w:t>
      </w:r>
      <w:r>
        <w:rPr>
          <w:rFonts w:ascii="Arial" w:cs="Arial" w:eastAsia="Arial" w:hAnsi="Arial"/>
          <w:sz w:val="22"/>
          <w:szCs w:val="22"/>
        </w:rPr>
        <w:t xml:space="preserve">— drives the scan. Priorities: privacy-first, cost-sustainable, deployable by a two-person team with AI assistance.</w:t>
      </w:r>
    </w:p>
    <w:p>
      <w:pPr>
        <w:pStyle w:val="ListParagraph"/>
        <w:numPr>
          <w:ilvl w:val="0"/>
          <w:numId w:val="2"/>
        </w:numPr>
        <w:spacing w:after="80" w:line="276"/>
      </w:pPr>
      <w:r>
        <w:rPr>
          <w:rFonts w:ascii="Arial" w:cs="Arial" w:eastAsia="Arial" w:hAnsi="Arial"/>
          <w:b/>
          <w:bCs/>
          <w:sz w:val="22"/>
          <w:szCs w:val="22"/>
        </w:rPr>
        <w:t xml:space="preserve">Alex Rivera (Lead Engineer) </w:t>
      </w:r>
      <w:r>
        <w:rPr>
          <w:rFonts w:ascii="Arial" w:cs="Arial" w:eastAsia="Arial" w:hAnsi="Arial"/>
          <w:sz w:val="22"/>
          <w:szCs w:val="22"/>
        </w:rPr>
        <w:t xml:space="preserve">— sizes effort and identifies architectural dependencies.</w:t>
      </w:r>
    </w:p>
    <w:p>
      <w:pPr>
        <w:pStyle w:val="ListParagraph"/>
        <w:numPr>
          <w:ilvl w:val="0"/>
          <w:numId w:val="2"/>
        </w:numPr>
        <w:spacing w:after="80" w:line="276"/>
      </w:pPr>
      <w:r>
        <w:rPr>
          <w:rFonts w:ascii="Arial" w:cs="Arial" w:eastAsia="Arial" w:hAnsi="Arial"/>
          <w:b/>
          <w:bCs/>
          <w:sz w:val="22"/>
          <w:szCs w:val="22"/>
        </w:rPr>
        <w:t xml:space="preserve">Maya Torres (PM) </w:t>
      </w:r>
      <w:r>
        <w:rPr>
          <w:rFonts w:ascii="Arial" w:cs="Arial" w:eastAsia="Arial" w:hAnsi="Arial"/>
          <w:sz w:val="22"/>
          <w:szCs w:val="22"/>
        </w:rPr>
        <w:t xml:space="preserve">— applies the “what specific persona moment does this solve” filter to every candidate.</w:t>
      </w:r>
    </w:p>
    <w:p>
      <w:pPr>
        <w:pStyle w:val="ListParagraph"/>
        <w:numPr>
          <w:ilvl w:val="0"/>
          <w:numId w:val="2"/>
        </w:numPr>
        <w:spacing w:after="80" w:line="276"/>
      </w:pPr>
      <w:r>
        <w:rPr>
          <w:rFonts w:ascii="Arial" w:cs="Arial" w:eastAsia="Arial" w:hAnsi="Arial"/>
          <w:b/>
          <w:bCs/>
          <w:sz w:val="22"/>
          <w:szCs w:val="22"/>
        </w:rPr>
        <w:t xml:space="preserve">Dr. Emily Carter (Neuropsychologist) </w:t>
      </w:r>
      <w:r>
        <w:rPr>
          <w:rFonts w:ascii="Arial" w:cs="Arial" w:eastAsia="Arial" w:hAnsi="Arial"/>
          <w:sz w:val="22"/>
          <w:szCs w:val="22"/>
        </w:rPr>
        <w:t xml:space="preserve">— evaluates research-worthiness: does this capability also produce publishable data?</w:t>
      </w:r>
    </w:p>
    <w:p>
      <w:pPr>
        <w:pStyle w:val="ListParagraph"/>
        <w:numPr>
          <w:ilvl w:val="0"/>
          <w:numId w:val="2"/>
        </w:numPr>
        <w:spacing w:after="80" w:line="276"/>
      </w:pPr>
      <w:r>
        <w:rPr>
          <w:rFonts w:ascii="Arial" w:cs="Arial" w:eastAsia="Arial" w:hAnsi="Arial"/>
          <w:b/>
          <w:bCs/>
          <w:sz w:val="22"/>
          <w:szCs w:val="22"/>
        </w:rPr>
        <w:t xml:space="preserve">Yuki Tanaka (UX) </w:t>
      </w:r>
      <w:r>
        <w:rPr>
          <w:rFonts w:ascii="Arial" w:cs="Arial" w:eastAsia="Arial" w:hAnsi="Arial"/>
          <w:sz w:val="22"/>
          <w:szCs w:val="22"/>
        </w:rPr>
        <w:t xml:space="preserve">— applies the Margaret-on-a-bad-day filter. Is the capability dignity-preserving?</w:t>
      </w:r>
    </w:p>
    <w:p>
      <w:pPr>
        <w:pStyle w:val="Heading3"/>
        <w:spacing w:after="80" w:before="180"/>
      </w:pPr>
      <w:r>
        <w:rPr>
          <w:rFonts w:ascii="Arial" w:cs="Arial" w:eastAsia="Arial" w:hAnsi="Arial"/>
          <w:b/>
          <w:bCs/>
          <w:color w:val="1F3864"/>
          <w:sz w:val="23"/>
          <w:szCs w:val="23"/>
        </w:rPr>
        <w:t xml:space="preserve">Anti-hallucination guardrails</w:t>
      </w:r>
    </w:p>
    <w:p>
      <w:pPr>
        <w:spacing w:after="120" w:line="276"/>
        <w:jc w:val="left"/>
      </w:pPr>
      <w:r>
        <w:rPr>
          <w:rFonts w:ascii="Arial" w:cs="Arial" w:eastAsia="Arial" w:hAnsi="Arial"/>
          <w:b w:val="false"/>
          <w:bCs w:val="false"/>
          <w:i w:val="false"/>
          <w:iCs w:val="false"/>
          <w:color w:val="000000"/>
          <w:sz w:val="22"/>
          <w:szCs w:val="22"/>
        </w:rPr>
        <w:t xml:space="preserve">This scan is exactly the kind of exercise where an AI collaborator could confabulate capabilities. Three rules were followed:</w:t>
      </w:r>
    </w:p>
    <w:p>
      <w:pPr>
        <w:pStyle w:val="ListParagraph"/>
        <w:numPr>
          <w:ilvl w:val="0"/>
          <w:numId w:val="2"/>
        </w:numPr>
        <w:spacing w:after="80" w:line="276"/>
      </w:pPr>
      <w:r>
        <w:rPr>
          <w:rFonts w:ascii="Arial" w:cs="Arial" w:eastAsia="Arial" w:hAnsi="Arial"/>
          <w:sz w:val="22"/>
          <w:szCs w:val="22"/>
        </w:rPr>
        <w:t xml:space="preserve">Every capability cites a named commercial product or research demonstration verified via web search in April 2026.</w:t>
      </w:r>
    </w:p>
    <w:p>
      <w:pPr>
        <w:pStyle w:val="ListParagraph"/>
        <w:numPr>
          <w:ilvl w:val="0"/>
          <w:numId w:val="2"/>
        </w:numPr>
        <w:spacing w:after="80" w:line="276"/>
      </w:pPr>
      <w:r>
        <w:rPr>
          <w:rFonts w:ascii="Arial" w:cs="Arial" w:eastAsia="Arial" w:hAnsi="Arial"/>
          <w:sz w:val="22"/>
          <w:szCs w:val="22"/>
        </w:rPr>
        <w:t xml:space="preserve">Unverified capabilities are flagged as such and NOT promoted to Adopt status, regardless of how promising they sound.</w:t>
      </w:r>
    </w:p>
    <w:p>
      <w:pPr>
        <w:pStyle w:val="ListParagraph"/>
        <w:numPr>
          <w:ilvl w:val="0"/>
          <w:numId w:val="2"/>
        </w:numPr>
        <w:spacing w:after="80" w:line="276"/>
      </w:pPr>
      <w:r>
        <w:rPr>
          <w:rFonts w:ascii="Arial" w:cs="Arial" w:eastAsia="Arial" w:hAnsi="Arial"/>
          <w:sz w:val="22"/>
          <w:szCs w:val="22"/>
        </w:rPr>
        <w:t xml:space="preserve">Where the research contradicted prior assumptions (e.g., Samsung Brain Health consumer-retail, Apple × Lilly partnership), the corrections are logged in the Competitive Analysis Errata rather than quietly updated.</w:t>
      </w:r>
    </w:p>
    <w:p>
      <w:pPr>
        <w:pStyle w:val="Heading1"/>
        <w:spacing w:after="160" w:before="280"/>
      </w:pPr>
      <w:r>
        <w:rPr>
          <w:rFonts w:ascii="Arial" w:cs="Arial" w:eastAsia="Arial" w:hAnsi="Arial"/>
          <w:b/>
          <w:bCs/>
          <w:color w:val="1F3864"/>
          <w:sz w:val="32"/>
          <w:szCs w:val="32"/>
        </w:rPr>
        <w:t xml:space="preserve">Tier A — Adopt: Verified, High-Fit, Deployable</w:t>
      </w:r>
    </w:p>
    <w:p>
      <w:pPr>
        <w:spacing w:after="120" w:line="276"/>
        <w:jc w:val="left"/>
      </w:pPr>
      <w:r>
        <w:rPr>
          <w:rFonts w:ascii="Arial" w:cs="Arial" w:eastAsia="Arial" w:hAnsi="Arial"/>
          <w:b w:val="false"/>
          <w:bCs w:val="false"/>
          <w:i/>
          <w:iCs/>
          <w:color w:val="555555"/>
          <w:sz w:val="22"/>
          <w:szCs w:val="22"/>
        </w:rPr>
        <w:t xml:space="preserve">Eight capabilities that are real today, have a clear persona-moment mapping, and deploy cleanly into the MVP or Phase 2 technology stack.</w:t>
      </w:r>
    </w:p>
    <w:p>
      <w:pPr>
        <w:pStyle w:val="Heading3"/>
        <w:spacing w:after="80" w:before="180"/>
      </w:pPr>
      <w:r>
        <w:rPr>
          <w:rFonts w:ascii="Arial" w:cs="Arial" w:eastAsia="Arial" w:hAnsi="Arial"/>
          <w:b/>
          <w:bCs/>
          <w:color w:val="1F3864"/>
          <w:sz w:val="23"/>
          <w:szCs w:val="23"/>
        </w:rPr>
        <w:t xml:space="preserve">A1. Multimodal vision‑language photo reasoning</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Claude Opus 4.6 / Sonnet 4.6 (200K–1M ctx) · GPT-5 series · Gemini 3.1 Pro. Commodity via API at $1–$20 per M tokens.</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Reasons about a photo in one call: not just “glasses” but “reading glasses on the kitchen counter, next to a coffee mug, taken in late-afternoon light.” Also does cross-photo correlation: “these are the same glasses from yesterday’s photo.”</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Upgrades the existing MVP AI object recognition from classifier-grade to reasoning-grade tagging. Also unlocks a new Phase 2 feature: Spatial Context Narration — the app describes where a photo was taken so the patient can orient themselves on retrieval.</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Margaret searches “my glasses.” App returns the photo with the context sentence “kitchen counter, earlier this afternoon, next to the blue bowl.” That sentence turns a photo into a location memory.</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Performance. MVP (existing ai-accuracy feature gains this backend) + Phase 2 (new Spatial Context Narration card).</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2 weeks: call Claude Sonnet on 200 representative household photos, compare against current classifier output. Metric: user-correction rate.</w:t>
      </w:r>
    </w:p>
    <w:p>
      <w:pPr>
        <w:pStyle w:val="Heading3"/>
        <w:spacing w:after="80" w:before="180"/>
      </w:pPr>
      <w:r>
        <w:rPr>
          <w:rFonts w:ascii="Arial" w:cs="Arial" w:eastAsia="Arial" w:hAnsi="Arial"/>
          <w:b/>
          <w:bCs/>
          <w:color w:val="1F3864"/>
          <w:sz w:val="23"/>
          <w:szCs w:val="23"/>
        </w:rPr>
        <w:t xml:space="preserve">A2. On-device LLM inference for privacy-first mode</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Apple Foundation Models (3B, iOS 26+) · Gemini Nano 4 (Pixel 8+, Galaxy S24 via AICore) · Microsoft Phi-4-multimodal · Meta Llama 3.2 (ExecuTorch GA Oct 2025, sub-20ms latency).</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Small foundation models running entirely on the patient’s or caregiver’s device. No cloud round-trip for sensitive queries, voice transcription, or photo captioning.</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Privacy Mode: sensitive family content (faces, voice notes, private photos) processed on-device only; cloud only for bulk / non-sensitive generation. Direct counter to the “dementia photos in the cloud” trust concern.</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Priya hesitates to share her dad’s photos with “some AI.” The Privacy Mode toggle flips everything local. She’s sold.</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Performance — Must-Be-adjacent (trust posture). Phase 2.</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2 weeks: integrate Apple Foundation Models on an iPhone build for photo captioning; benchmark vs. cloud Claude/GPT. Measure: latency, user-acceptability rate.</w:t>
      </w:r>
    </w:p>
    <w:p>
      <w:pPr>
        <w:pStyle w:val="Heading3"/>
        <w:spacing w:after="80" w:before="180"/>
      </w:pPr>
      <w:r>
        <w:rPr>
          <w:rFonts w:ascii="Arial" w:cs="Arial" w:eastAsia="Arial" w:hAnsi="Arial"/>
          <w:b/>
          <w:bCs/>
          <w:color w:val="1F3864"/>
          <w:sz w:val="23"/>
          <w:szCs w:val="23"/>
        </w:rPr>
        <w:t xml:space="preserve">A3. Voice cloning for patient’s own voice</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ElevenLabs Instant Voice Cloning. $5/mo starter. 10‑second sample. Commercial license included. (OpenAI Voice Engine is restricted to ~10 partners and should not be counted on.)</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Given a short voice sample, generates new speech indistinguishable from the source voice.</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Extends existing Voice Self-Reminders (Phase 2) — Margaret records “Call the dentist tomorrow” and the reminder plays back in her OWN voice the next day. Higher trust than synthetic voice; emotionally grounding.</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Margaret hears her own calm voice say “Call the dentist at 2pm.” She trusts herself. She dials.</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Attractive. MVP+ or early Phase 2. Elevates existing voice-self-reminders feature.</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1 week: ElevenLabs API, 5 household voices, user-study A/B on synthetic vs. own-voice reminder acceptance.</w:t>
      </w:r>
    </w:p>
    <w:p>
      <w:pPr>
        <w:pStyle w:val="Heading3"/>
        <w:spacing w:after="80" w:before="180"/>
      </w:pPr>
      <w:r>
        <w:rPr>
          <w:rFonts w:ascii="Arial" w:cs="Arial" w:eastAsia="Arial" w:hAnsi="Arial"/>
          <w:b/>
          <w:bCs/>
          <w:color w:val="1F3864"/>
          <w:sz w:val="23"/>
          <w:szCs w:val="23"/>
        </w:rPr>
        <w:t xml:space="preserve">A4. Long-context narrative summarization</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Claude Opus 4.6 (200K–1M ctx) · Gemini 1.5 Flash (2M ctx). Production-ready.</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Takes months of mixed-input data (voice notes, behavioral observations, missed doses, search patterns) and produces a coherent narrative summary tuned to the reader.</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Narrative Caregiver Digest: a weekly or monthly one-paragraph clinical summary in Dr. Patel’s preferred format. Different from the trend charts (quantitative); this is prose. Upgrades the Phase 2 Physician Summary Report.</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Dr. Patel has 15 minutes with this patient. He reads three paragraphs generated by ReCall. They point him to three things he would have missed scrolling through logs.</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Performance. Phase 2.</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2 weeks once 6 months of simulated data exists. Measure: Dr. Patel‑persona read-time under 90 seconds, signal fidelity vs. full data review.</w:t>
      </w:r>
    </w:p>
    <w:p>
      <w:pPr>
        <w:pStyle w:val="Heading3"/>
        <w:spacing w:after="80" w:before="180"/>
      </w:pPr>
      <w:r>
        <w:rPr>
          <w:rFonts w:ascii="Arial" w:cs="Arial" w:eastAsia="Arial" w:hAnsi="Arial"/>
          <w:b/>
          <w:bCs/>
          <w:color w:val="1F3864"/>
          <w:sz w:val="23"/>
          <w:szCs w:val="23"/>
        </w:rPr>
        <w:t xml:space="preserve">A5. Emotional / expressive TTS</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ElevenLabs Eleven v3 · OpenAI gpt-4o-mini-tts (plain-language style prompts) · Google Gemini Native TTS (70+ languages).</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Generated speech with steerable emotional tone — warm, calm, slow, whispered. Not chirpy.</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Upgrades the MVP+ Morning Voice Briefing from functional TTS to genuinely warm “companion” voice. The emotional quality is what separates “this is nice” from “I love this app.”</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Linda is anxious at 7am. A warm, slow voice reads her briefing. Her shoulders drop.</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Performance. MVP+ (upgrades existing morning-voice-briefing card).</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1 week: side-by-side user study, ElevenLabs vs. platform default TTS, on the Linda persona preference.</w:t>
      </w:r>
    </w:p>
    <w:p>
      <w:pPr>
        <w:pStyle w:val="Heading3"/>
        <w:spacing w:after="80" w:before="180"/>
      </w:pPr>
      <w:r>
        <w:rPr>
          <w:rFonts w:ascii="Arial" w:cs="Arial" w:eastAsia="Arial" w:hAnsi="Arial"/>
          <w:b/>
          <w:bCs/>
          <w:color w:val="1F3864"/>
          <w:sz w:val="23"/>
          <w:szCs w:val="23"/>
        </w:rPr>
        <w:t xml:space="preserve">A6. Structured extraction from messy voice input</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OpenAI Structured Outputs (99.9% schema compliance) · Claude output-format JSON schema · Gemini structured output. Commodity across all major providers.</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Takes free-form text or voice input and produces strictly-schemed JSON reliably.</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Upgrades the Phase 2 Behavioral Observation Log from voice-to-text to voice-to-structured. Elena rambles during her shift; the app extracts { time, observation_type, meal_status, item_event, memory_marker } for research-grade data.</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Elena rants for 40 seconds about a hard shift. Ten structured records land in the caregiver view. Dr. Rosenfeld can scan it in 20 seconds.</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Performance. Phase 2 (upgrades existing behavioral-observation card).</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3 days: Claude + JSON schema on a corpus of 30 simulated caregiver voice notes. Measure: field-level accuracy.</w:t>
      </w:r>
    </w:p>
    <w:p>
      <w:pPr>
        <w:pStyle w:val="Heading3"/>
        <w:spacing w:after="80" w:before="180"/>
      </w:pPr>
      <w:r>
        <w:rPr>
          <w:rFonts w:ascii="Arial" w:cs="Arial" w:eastAsia="Arial" w:hAnsi="Arial"/>
          <w:b/>
          <w:bCs/>
          <w:color w:val="1F3864"/>
          <w:sz w:val="23"/>
          <w:szCs w:val="23"/>
        </w:rPr>
        <w:t xml:space="preserve">A7. Real-time voice translation</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Google Translate Live (expanded to iOS + 12 countries March 2026) · Google Meet Live Translate (May 2025) · Whisper + TTS chain.</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Speech in language A → speech in language B in near-real-time, with preserved tone.</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Bilingual Conversation mode: caregiver speaks English, patient hears Spanish; patient responds in Spanish, caregiver hears English. Makes the Phase 3 Localization feature dynamic rather than static. Unblocks multigenerational immigrant households — a large, underserved segment.</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Priya video-calls her mom in Spanish. The caregiver (English-only) hears Priya’s question translated. Her mom hears her daughter. The conversation flows.</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Attractive. Phase 3. Builds on Localization (also Phase 3).</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1 week: Whisper + ElevenLabs chain for ES↔EN, measure latency and emotional fidelity.</w:t>
      </w:r>
    </w:p>
    <w:p>
      <w:pPr>
        <w:pStyle w:val="Heading3"/>
        <w:spacing w:after="80" w:before="180"/>
      </w:pPr>
      <w:r>
        <w:rPr>
          <w:rFonts w:ascii="Arial" w:cs="Arial" w:eastAsia="Arial" w:hAnsi="Arial"/>
          <w:b/>
          <w:bCs/>
          <w:color w:val="1F3864"/>
          <w:sz w:val="23"/>
          <w:szCs w:val="23"/>
        </w:rPr>
        <w:t xml:space="preserve">A8. Cross-modal semantic search</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CLIP-family embeddings (open) · OpenAI/Voyage embeddings · Google Ask Photos (shipping but had accuracy issues; March 2026 rollback option added).</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Embeds photos, voice notes, and text into a shared vector space so one query returns all relevant items across modalities.</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MVP architectural: back the Natural Language Search with embeddings, not keywords, from day one. Phase 2 feature: unified search across photos + voice notes + caregiver text. “Where were the glasses yesterday?” returns the photo AND Robert’s voice note AND Elena’s shift log.</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Margaret asks “what did Robert say about the hearing aids?” The app returns the voice note and the photo he took. No separate search boxes.</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Performance. MVP (architectural) + Phase 2 (cross-modal feature).</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3 days for embeddings infrastructure; 1 week for cross-modal UI.</w:t>
      </w:r>
    </w:p>
    <w:p>
      <w:pPr>
        <w:pStyle w:val="Heading1"/>
        <w:spacing w:after="160" w:before="280"/>
      </w:pPr>
      <w:r>
        <w:rPr>
          <w:rFonts w:ascii="Arial" w:cs="Arial" w:eastAsia="Arial" w:hAnsi="Arial"/>
          <w:b/>
          <w:bCs/>
          <w:color w:val="1F3864"/>
          <w:sz w:val="32"/>
          <w:szCs w:val="32"/>
        </w:rPr>
        <w:t xml:space="preserve">Tier B — Watch: Real but Application-Risky</w:t>
      </w:r>
    </w:p>
    <w:p>
      <w:pPr>
        <w:spacing w:after="120" w:line="276"/>
        <w:jc w:val="left"/>
      </w:pPr>
      <w:r>
        <w:rPr>
          <w:rFonts w:ascii="Arial" w:cs="Arial" w:eastAsia="Arial" w:hAnsi="Arial"/>
          <w:b w:val="false"/>
          <w:bCs w:val="false"/>
          <w:i/>
          <w:iCs/>
          <w:color w:val="555555"/>
          <w:sz w:val="22"/>
          <w:szCs w:val="22"/>
        </w:rPr>
        <w:t xml:space="preserve">Three capabilities that are genuinely shipping but come with deployment risk — reliability, clinical validation, or ethics. Named as candidates; held for Phase 3+ pending risk mitigation.</w:t>
      </w:r>
    </w:p>
    <w:p>
      <w:pPr>
        <w:pStyle w:val="Heading3"/>
        <w:spacing w:after="80" w:before="180"/>
      </w:pPr>
      <w:r>
        <w:rPr>
          <w:rFonts w:ascii="Arial" w:cs="Arial" w:eastAsia="Arial" w:hAnsi="Arial"/>
          <w:b/>
          <w:bCs/>
          <w:color w:val="1F3864"/>
          <w:sz w:val="23"/>
          <w:szCs w:val="23"/>
        </w:rPr>
        <w:t xml:space="preserve">A9. Voice emotion / sentiment detection</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Hume AI (Expression Measurement + Empathic Voice Interface). 10+ years research backing. Clinical partnerships with Mount Sinai, Harvard. Jan 2026 licensing deal with Google DeepMind. Affectiva status unverified in 2026.</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Detects emotional tone from voice: anxiety, distress, calm, confusion. Trend-able over time.</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Voice Distress Trend (caregiver-side): “did mom sound anxious this week?” graph. Capture-side: detect distress in voice during item logging, quietly delay non-urgent prompts.</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Priya sees her mom’s voice-distress trend has crept up over the past two weeks. She calls.</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Attractive. Phase 3+ — requires clinical advisor sign-off. Risk: false positives in dementia populations (speech patterns change; emotion detection trained on neurotypical speech may mislabel).</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Research prototype only for V1. Revisit after clinical advisor onboard.</w:t>
      </w:r>
    </w:p>
    <w:p>
      <w:pPr>
        <w:pStyle w:val="Heading3"/>
        <w:spacing w:after="80" w:before="180"/>
      </w:pPr>
      <w:r>
        <w:rPr>
          <w:rFonts w:ascii="Arial" w:cs="Arial" w:eastAsia="Arial" w:hAnsi="Arial"/>
          <w:b/>
          <w:bCs/>
          <w:color w:val="1F3864"/>
          <w:sz w:val="23"/>
          <w:szCs w:val="23"/>
        </w:rPr>
        <w:t xml:space="preserve">A10. Agentic task execution</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Anthropic Claude Computer Use (March 2026 research preview; integrated into Claude Pro/Max via Cowork and Claude Code). OpenAI ChatGPT Agent (native agent mode in Pro tier Feb 2026). Not enterprise-hardened.</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LLM autonomously navigates websites, fills forms, executes multi-step tasks (e.g., order groceries, renew a prescription, schedule a ride).</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Caregiver Admin Agent: Priya says “renew mom’s prescriptions for Tuesday.” The agent navigates the pharmacy site and does it. Major delighter — directly reduces Priya’s overhead.</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Not deployed in V1; tracked as a Q4 2026 reliability gate.</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Attractive. Phase 3+ — do NOT ship in MVP or Phase 2. Vulnerable population + real money + account credentials = reliability bar not yet met.</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Watch-list only. Revisit Q4 2026 when reliability benchmarks mature.</w:t>
      </w:r>
    </w:p>
    <w:p>
      <w:pPr>
        <w:pStyle w:val="Heading3"/>
        <w:spacing w:after="80" w:before="180"/>
      </w:pPr>
      <w:r>
        <w:rPr>
          <w:rFonts w:ascii="Arial" w:cs="Arial" w:eastAsia="Arial" w:hAnsi="Arial"/>
          <w:b/>
          <w:bCs/>
          <w:color w:val="1F3864"/>
          <w:sz w:val="23"/>
          <w:szCs w:val="23"/>
        </w:rPr>
        <w:t xml:space="preserve">A11. Adaptive curriculum for Scaffolded Active Recall</w:t>
      </w:r>
    </w:p>
    <w:p>
      <w:pPr>
        <w:spacing w:after="60" w:line="276"/>
      </w:pPr>
      <w:r>
        <w:rPr>
          <w:rFonts w:ascii="Arial" w:cs="Arial" w:eastAsia="Arial" w:hAnsi="Arial"/>
          <w:b/>
          <w:bCs/>
          <w:color w:val="555555"/>
          <w:sz w:val="21"/>
          <w:szCs w:val="21"/>
        </w:rPr>
        <w:t xml:space="preserve">Shipping reference: </w:t>
      </w:r>
      <w:r>
        <w:rPr>
          <w:rFonts w:ascii="Arial" w:cs="Arial" w:eastAsia="Arial" w:hAnsi="Arial"/>
          <w:i/>
          <w:iCs/>
          <w:sz w:val="21"/>
          <w:szCs w:val="21"/>
        </w:rPr>
        <w:t xml:space="preserve">Adaptive learning at scale (Khan Academy, Duolingo spaced repetition), plus LLM-driven personalization. No dementia-specific adaptive system shipping today.</w:t>
      </w:r>
    </w:p>
    <w:p>
      <w:pPr>
        <w:pStyle w:val="ListParagraph"/>
        <w:numPr>
          <w:ilvl w:val="0"/>
          <w:numId w:val="2"/>
        </w:numPr>
        <w:spacing w:after="80" w:line="276"/>
      </w:pPr>
      <w:r>
        <w:rPr>
          <w:rFonts w:ascii="Arial" w:cs="Arial" w:eastAsia="Arial" w:hAnsi="Arial"/>
          <w:b/>
          <w:bCs/>
          <w:sz w:val="22"/>
          <w:szCs w:val="22"/>
        </w:rPr>
        <w:t xml:space="preserve">What it does: </w:t>
      </w:r>
      <w:r>
        <w:rPr>
          <w:rFonts w:ascii="Arial" w:cs="Arial" w:eastAsia="Arial" w:hAnsi="Arial"/>
          <w:sz w:val="22"/>
          <w:szCs w:val="22"/>
        </w:rPr>
        <w:t xml:space="preserve">AI selects which items to quiz, at what retrieval-stage, based on historical success patterns — easier items on bad days, harder retrieval on good days.</w:t>
      </w:r>
    </w:p>
    <w:p>
      <w:pPr>
        <w:pStyle w:val="ListParagraph"/>
        <w:numPr>
          <w:ilvl w:val="0"/>
          <w:numId w:val="2"/>
        </w:numPr>
        <w:spacing w:after="80" w:line="276"/>
      </w:pPr>
      <w:r>
        <w:rPr>
          <w:rFonts w:ascii="Arial" w:cs="Arial" w:eastAsia="Arial" w:hAnsi="Arial"/>
          <w:b/>
          <w:bCs/>
          <w:sz w:val="22"/>
          <w:szCs w:val="22"/>
        </w:rPr>
        <w:t xml:space="preserve">ReCall feature: </w:t>
      </w:r>
      <w:r>
        <w:rPr>
          <w:rFonts w:ascii="Arial" w:cs="Arial" w:eastAsia="Arial" w:hAnsi="Arial"/>
          <w:sz w:val="22"/>
          <w:szCs w:val="22"/>
        </w:rPr>
        <w:t xml:space="preserve">Enhances the existing Scaffolded Active Recall (Phase 2) feature. Personalization layer on top.</w:t>
      </w:r>
    </w:p>
    <w:p>
      <w:pPr>
        <w:pStyle w:val="ListParagraph"/>
        <w:numPr>
          <w:ilvl w:val="0"/>
          <w:numId w:val="2"/>
        </w:numPr>
        <w:spacing w:after="80" w:line="276"/>
      </w:pPr>
      <w:r>
        <w:rPr>
          <w:rFonts w:ascii="Arial" w:cs="Arial" w:eastAsia="Arial" w:hAnsi="Arial"/>
          <w:b/>
          <w:bCs/>
          <w:sz w:val="22"/>
          <w:szCs w:val="22"/>
        </w:rPr>
        <w:t xml:space="preserve">Persona moment: </w:t>
      </w:r>
      <w:r>
        <w:rPr>
          <w:rFonts w:ascii="Arial" w:cs="Arial" w:eastAsia="Arial" w:hAnsi="Arial"/>
          <w:sz w:val="22"/>
          <w:szCs w:val="22"/>
        </w:rPr>
        <w:t xml:space="preserve">Margaret opens Active Recall on a bad morning. The item is one she’s gotten right before. Small win. Tomorrow she’s asked something harder.</w:t>
      </w:r>
    </w:p>
    <w:p>
      <w:pPr>
        <w:pStyle w:val="ListParagraph"/>
        <w:numPr>
          <w:ilvl w:val="0"/>
          <w:numId w:val="2"/>
        </w:numPr>
        <w:spacing w:after="80" w:line="276"/>
      </w:pPr>
      <w:r>
        <w:rPr>
          <w:rFonts w:ascii="Arial" w:cs="Arial" w:eastAsia="Arial" w:hAnsi="Arial"/>
          <w:b/>
          <w:bCs/>
          <w:sz w:val="22"/>
          <w:szCs w:val="22"/>
        </w:rPr>
        <w:t xml:space="preserve">Kano + Release: </w:t>
      </w:r>
      <w:r>
        <w:rPr>
          <w:rFonts w:ascii="Arial" w:cs="Arial" w:eastAsia="Arial" w:hAnsi="Arial"/>
          <w:sz w:val="22"/>
          <w:szCs w:val="22"/>
        </w:rPr>
        <w:t xml:space="preserve">Attractive. Phase 3 (depends on Active Recall being mature and producing retrieval-stage data).</w:t>
      </w:r>
    </w:p>
    <w:p>
      <w:pPr>
        <w:pStyle w:val="ListParagraph"/>
        <w:numPr>
          <w:ilvl w:val="0"/>
          <w:numId w:val="2"/>
        </w:numPr>
        <w:spacing w:after="80" w:line="276"/>
      </w:pPr>
      <w:r>
        <w:rPr>
          <w:rFonts w:ascii="Arial" w:cs="Arial" w:eastAsia="Arial" w:hAnsi="Arial"/>
          <w:b/>
          <w:bCs/>
          <w:sz w:val="22"/>
          <w:szCs w:val="22"/>
        </w:rPr>
        <w:t xml:space="preserve">PoC gate: </w:t>
      </w:r>
      <w:r>
        <w:rPr>
          <w:rFonts w:ascii="Arial" w:cs="Arial" w:eastAsia="Arial" w:hAnsi="Arial"/>
          <w:sz w:val="22"/>
          <w:szCs w:val="22"/>
        </w:rPr>
        <w:t xml:space="preserve">No PoC until Active Recall has shipped and accumulated 3–6 months of real retrieval-stage data.</w:t>
      </w:r>
    </w:p>
    <w:p>
      <w:pPr>
        <w:pStyle w:val="Heading1"/>
        <w:spacing w:after="160" w:before="280"/>
      </w:pPr>
      <w:r>
        <w:rPr>
          <w:rFonts w:ascii="Arial" w:cs="Arial" w:eastAsia="Arial" w:hAnsi="Arial"/>
          <w:b/>
          <w:bCs/>
          <w:color w:val="1F3864"/>
          <w:sz w:val="32"/>
          <w:szCs w:val="32"/>
        </w:rPr>
        <w:t xml:space="preserve">Tier C — Reject or Verify: Not Deployable</w:t>
      </w:r>
    </w:p>
    <w:p>
      <w:pPr>
        <w:spacing w:after="120" w:line="276"/>
        <w:jc w:val="left"/>
      </w:pPr>
      <w:r>
        <w:rPr>
          <w:rFonts w:ascii="Arial" w:cs="Arial" w:eastAsia="Arial" w:hAnsi="Arial"/>
          <w:b w:val="false"/>
          <w:bCs w:val="false"/>
          <w:i/>
          <w:iCs/>
          <w:color w:val="555555"/>
          <w:sz w:val="22"/>
          <w:szCs w:val="22"/>
        </w:rPr>
        <w:t xml:space="preserve">Three capabilities that sounded promising but did not survive verification. Logged explicitly so future-you doesn’t re-propose them without new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Capability</w:t>
            </w:r>
          </w:p>
        </w:tc>
        <w:tc>
          <w:tcPr>
            <w:tcW w:type="dxa" w:w="34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Why not adoptable today</w:t>
            </w:r>
          </w:p>
        </w:tc>
        <w:tc>
          <w:tcPr>
            <w:tcW w:type="dxa" w:w="386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Re-evaluation trigger</w:t>
            </w:r>
          </w:p>
        </w:tc>
      </w:tr>
      <w:tr>
        <w:tc>
          <w:tcPr>
            <w:tcW w:type="dxa" w:w="210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Speaker-personalized speech-to-text</w:t>
            </w:r>
          </w:p>
        </w:tc>
        <w:tc>
          <w:tcPr>
            <w:tcW w:type="dxa" w:w="340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No major vendor (Whisper, AssemblyAI, Deepgram) exposes per-speaker fine-tuning in a production API as of April 2026. Accuracy improvements are general, not individualized.</w:t>
            </w:r>
          </w:p>
        </w:tc>
        <w:tc>
          <w:tcPr>
            <w:tcW w:type="dxa" w:w="386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Revisit if AssemblyAI or Deepgram ship a speaker-adaptation product, or if fine-tuning small ASR models on-device becomes tractable.</w:t>
            </w:r>
          </w:p>
        </w:tc>
      </w:tr>
      <w:tr>
        <w:tc>
          <w:tcPr>
            <w:tcW w:type="dxa" w:w="210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OpenAI Voice Engine</w:t>
            </w:r>
          </w:p>
        </w:tc>
        <w:tc>
          <w:tcPr>
            <w:tcW w:type="dxa" w:w="340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Still restricted to ~10 trusted developer partners (status as of March 2026). No general launch announced. Building a Phase 2 feature dependent on it is speculative.</w:t>
            </w:r>
          </w:p>
        </w:tc>
        <w:tc>
          <w:tcPr>
            <w:tcW w:type="dxa" w:w="386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Monitor the OpenAI developer blog quarterly. If it opens, re-evaluate voice-cloning strategy (may replace ElevenLabs).</w:t>
            </w:r>
          </w:p>
        </w:tc>
      </w:tr>
      <w:tr>
        <w:tc>
          <w:tcPr>
            <w:tcW w:type="dxa" w:w="210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Generative imagery of absent loved ones</w:t>
            </w:r>
          </w:p>
        </w:tc>
        <w:tc>
          <w:tcPr>
            <w:tcW w:type="dxa" w:w="340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Technically feasible (DALL-E, Imagen, Midjourney). Clinical contraindication: generating images of absent or deceased family members risks confusion and dissociation. This is Yuki’s veto.</w:t>
            </w:r>
          </w:p>
        </w:tc>
        <w:tc>
          <w:tcPr>
            <w:tcW w:type="dxa" w:w="3860"/>
            <w:tcBorders>
              <w:top w:val="single" w:color="CCCCCC" w:sz="1"/>
              <w:left w:val="single" w:color="CCCCCC" w:sz="1"/>
              <w:bottom w:val="single" w:color="CCCCCC" w:sz="1"/>
              <w:right w:val="single" w:color="CCCCCC" w:sz="1"/>
            </w:tcBorders>
            <w:shd w:fill="F4E7E7"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Only revisit with an OT advisor framing specific therapeutic use (e.g., supervised reminiscence under clinical protocol). Never as a consumer feature.</w:t>
            </w:r>
          </w:p>
        </w:tc>
      </w:tr>
    </w:tbl>
    <w:p>
      <w:pPr>
        <w:pStyle w:val="Heading1"/>
        <w:spacing w:after="160" w:before="280"/>
      </w:pPr>
      <w:r>
        <w:rPr>
          <w:rFonts w:ascii="Arial" w:cs="Arial" w:eastAsia="Arial" w:hAnsi="Arial"/>
          <w:b/>
          <w:bCs/>
          <w:color w:val="1F3864"/>
          <w:sz w:val="32"/>
          <w:szCs w:val="32"/>
        </w:rPr>
        <w:t xml:space="preserve">MVP Architectural Implications</w:t>
      </w:r>
    </w:p>
    <w:p>
      <w:pPr>
        <w:spacing w:after="120" w:line="276"/>
        <w:jc w:val="left"/>
      </w:pPr>
      <w:r>
        <w:rPr>
          <w:rFonts w:ascii="Arial" w:cs="Arial" w:eastAsia="Arial" w:hAnsi="Arial"/>
          <w:b w:val="false"/>
          <w:bCs w:val="false"/>
          <w:i w:val="false"/>
          <w:iCs w:val="false"/>
          <w:color w:val="000000"/>
          <w:sz w:val="22"/>
          <w:szCs w:val="22"/>
        </w:rPr>
        <w:t xml:space="preserve">Four decisions should be locked into the MVP build, even if the full feature benefit lands in Phase 2 or 3. Each one prevents a painful rewrite later.</w:t>
      </w:r>
    </w:p>
    <w:p>
      <w:pPr>
        <w:spacing w:after="60" w:before="140"/>
      </w:pPr>
      <w:r>
        <w:rPr>
          <w:rFonts w:ascii="Arial" w:cs="Arial" w:eastAsia="Arial" w:hAnsi="Arial"/>
          <w:b/>
          <w:bCs/>
          <w:color w:val="1F3864"/>
          <w:sz w:val="22"/>
          <w:szCs w:val="22"/>
        </w:rPr>
        <w:t xml:space="preserve">1. Choose a multimodal vision‑language vendor NOW</w:t>
      </w:r>
    </w:p>
    <w:p>
      <w:pPr>
        <w:spacing w:after="120" w:line="276"/>
        <w:jc w:val="left"/>
      </w:pPr>
      <w:r>
        <w:rPr>
          <w:rFonts w:ascii="Arial" w:cs="Arial" w:eastAsia="Arial" w:hAnsi="Arial"/>
          <w:b w:val="false"/>
          <w:bCs w:val="false"/>
          <w:i w:val="false"/>
          <w:iCs w:val="false"/>
          <w:color w:val="000000"/>
          <w:sz w:val="22"/>
          <w:szCs w:val="22"/>
        </w:rPr>
        <w:t xml:space="preserve">The MVP AI object-recognition feature should call a VLM (Claude Sonnet, Gemini Flash, GPT-5 mini) rather than a plain classifier, even for simple use cases. Why: every Phase 2 / Phase 3 visual feature (spatial narration, cross-modal search, pill ID research, ambient display) assumes VLM outputs. Changing vendors later is acceptable; changing from classifier to VLM is a full rewrite.</w:t>
      </w:r>
    </w:p>
    <w:p>
      <w:pPr>
        <w:spacing w:after="120" w:line="276"/>
        <w:jc w:val="left"/>
      </w:pPr>
      <w:r>
        <w:rPr>
          <w:rFonts w:ascii="Arial" w:cs="Arial" w:eastAsia="Arial" w:hAnsi="Arial"/>
          <w:b w:val="false"/>
          <w:bCs w:val="false"/>
          <w:i w:val="false"/>
          <w:iCs w:val="false"/>
          <w:color w:val="000000"/>
          <w:sz w:val="22"/>
          <w:szCs w:val="22"/>
        </w:rPr>
        <w:t xml:space="preserve">Recommended default: Claude Sonnet 4.6 (cost + speed + Anthropic ecosystem) with Gemini Flash fallback. Revisit pricing quarterly.</w:t>
      </w:r>
    </w:p>
    <w:p>
      <w:pPr>
        <w:spacing w:after="60" w:before="140"/>
      </w:pPr>
      <w:r>
        <w:rPr>
          <w:rFonts w:ascii="Arial" w:cs="Arial" w:eastAsia="Arial" w:hAnsi="Arial"/>
          <w:b/>
          <w:bCs/>
          <w:color w:val="1F3864"/>
          <w:sz w:val="22"/>
          <w:szCs w:val="22"/>
        </w:rPr>
        <w:t xml:space="preserve">2. Back natural-language search with embeddings, not keywords</w:t>
      </w:r>
    </w:p>
    <w:p>
      <w:pPr>
        <w:spacing w:after="120" w:line="276"/>
        <w:jc w:val="left"/>
      </w:pPr>
      <w:r>
        <w:rPr>
          <w:rFonts w:ascii="Arial" w:cs="Arial" w:eastAsia="Arial" w:hAnsi="Arial"/>
          <w:b w:val="false"/>
          <w:bCs w:val="false"/>
          <w:i w:val="false"/>
          <w:iCs w:val="false"/>
          <w:color w:val="000000"/>
          <w:sz w:val="22"/>
          <w:szCs w:val="22"/>
        </w:rPr>
        <w:t xml:space="preserve">The MVP NL search feature should use vector embeddings (OpenAI text-embedding-3-small or Voyage AI) indexed in Firestore vector search (native) or Pinecone. Why: the Phase 2 cross-modal search feature assumes embeddings exist. Keyword search is ~3 days of rework later; embeddings up-front is ~3 days extra now. Same cost, fewer migrations.</w:t>
      </w:r>
    </w:p>
    <w:p>
      <w:pPr>
        <w:spacing w:after="60" w:before="140"/>
      </w:pPr>
      <w:r>
        <w:rPr>
          <w:rFonts w:ascii="Arial" w:cs="Arial" w:eastAsia="Arial" w:hAnsi="Arial"/>
          <w:b/>
          <w:bCs/>
          <w:color w:val="1F3864"/>
          <w:sz w:val="22"/>
          <w:szCs w:val="22"/>
        </w:rPr>
        <w:t xml:space="preserve">3. Architect so on‑device inference is additive, not a rewrite</w:t>
      </w:r>
    </w:p>
    <w:p>
      <w:pPr>
        <w:spacing w:after="120" w:line="276"/>
        <w:jc w:val="left"/>
      </w:pPr>
      <w:r>
        <w:rPr>
          <w:rFonts w:ascii="Arial" w:cs="Arial" w:eastAsia="Arial" w:hAnsi="Arial"/>
          <w:b w:val="false"/>
          <w:bCs w:val="false"/>
          <w:i w:val="false"/>
          <w:iCs w:val="false"/>
          <w:color w:val="000000"/>
          <w:sz w:val="22"/>
          <w:szCs w:val="22"/>
        </w:rPr>
        <w:t xml:space="preserve">The MVP will ship cloud-first (Option B from the architecture memo). That’s correct. But structure the inference layer as an abstraction — “call the model” — so Phase 2 can add an on-device path (Apple Foundation Models / Gemini Nano) for sensitive queries without rewriting the feature code. Concretely: every LLM call goes through a single client class with a sensitivity flag. MVP always hits cloud; Phase 2 routes high-sensitivity flag to on-device.</w:t>
      </w:r>
    </w:p>
    <w:p>
      <w:pPr>
        <w:spacing w:after="60" w:before="140"/>
      </w:pPr>
      <w:r>
        <w:rPr>
          <w:rFonts w:ascii="Arial" w:cs="Arial" w:eastAsia="Arial" w:hAnsi="Arial"/>
          <w:b/>
          <w:bCs/>
          <w:color w:val="1F3864"/>
          <w:sz w:val="22"/>
          <w:szCs w:val="22"/>
        </w:rPr>
        <w:t xml:space="preserve">4. Establish voice‑cloning consent scaffolding even if MVP doesn’t ship it</w:t>
      </w:r>
    </w:p>
    <w:p>
      <w:pPr>
        <w:spacing w:after="120" w:line="276"/>
        <w:jc w:val="left"/>
      </w:pPr>
      <w:r>
        <w:rPr>
          <w:rFonts w:ascii="Arial" w:cs="Arial" w:eastAsia="Arial" w:hAnsi="Arial"/>
          <w:b w:val="false"/>
          <w:bCs w:val="false"/>
          <w:i w:val="false"/>
          <w:iCs w:val="false"/>
          <w:color w:val="000000"/>
          <w:sz w:val="22"/>
          <w:szCs w:val="22"/>
        </w:rPr>
        <w:t xml:space="preserve">The voice cloning feature (A3) is Phase 2. The consent architecture around it — explicit opt-in, signed release, revocation UI, audit log — needs to be designed during the MVP privacy-posture work. Bolting consent on later is the path to an embarrassing incident. Write the privacy policy once, covering the full near-term feature set, not the MVP surface only.</w:t>
      </w:r>
    </w:p>
    <w:p>
      <w:pPr>
        <w:pStyle w:val="Heading1"/>
        <w:spacing w:after="160" w:before="280"/>
      </w:pPr>
      <w:r>
        <w:rPr>
          <w:rFonts w:ascii="Arial" w:cs="Arial" w:eastAsia="Arial" w:hAnsi="Arial"/>
          <w:b/>
          <w:bCs/>
          <w:color w:val="1F3864"/>
          <w:sz w:val="32"/>
          <w:szCs w:val="32"/>
        </w:rPr>
        <w:t xml:space="preserve">Competitive Analysis Errata</w:t>
      </w:r>
    </w:p>
    <w:p>
      <w:pPr>
        <w:spacing w:after="120" w:line="276"/>
        <w:jc w:val="left"/>
      </w:pPr>
      <w:r>
        <w:rPr>
          <w:rFonts w:ascii="Arial" w:cs="Arial" w:eastAsia="Arial" w:hAnsi="Arial"/>
          <w:b w:val="false"/>
          <w:bCs w:val="false"/>
          <w:i w:val="false"/>
          <w:iCs w:val="false"/>
          <w:color w:val="000000"/>
          <w:sz w:val="22"/>
          <w:szCs w:val="22"/>
        </w:rPr>
        <w:t xml:space="preserve">The research pass for this scan surfaced three corrections to the April 16 Competitive Analysis document. These should be noted in the next revision of that doc.</w:t>
      </w:r>
    </w:p>
    <w:p>
      <w:pPr>
        <w:pStyle w:val="Heading3"/>
        <w:spacing w:after="80" w:before="180"/>
      </w:pPr>
      <w:r>
        <w:rPr>
          <w:rFonts w:ascii="Arial" w:cs="Arial" w:eastAsia="Arial" w:hAnsi="Arial"/>
          <w:b/>
          <w:bCs/>
          <w:color w:val="1F3864"/>
          <w:sz w:val="23"/>
          <w:szCs w:val="23"/>
        </w:rPr>
        <w:t xml:space="preserve">1. Samsung Brain Health (CES 2026) — overstated</w:t>
      </w:r>
    </w:p>
    <w:p>
      <w:pPr>
        <w:spacing w:after="120" w:line="276"/>
        <w:jc w:val="left"/>
      </w:pPr>
      <w:r>
        <w:rPr>
          <w:rFonts w:ascii="Arial" w:cs="Arial" w:eastAsia="Arial" w:hAnsi="Arial"/>
          <w:b w:val="false"/>
          <w:bCs w:val="false"/>
          <w:i w:val="false"/>
          <w:iCs w:val="false"/>
          <w:color w:val="000000"/>
          <w:sz w:val="22"/>
          <w:szCs w:val="22"/>
        </w:rPr>
        <w:t xml:space="preserve">The competitive analysis described Samsung Brain Health as a shipping consumer product. Verification: it is a B2B / research partnership with Stanford Medicine, announced at CES 2026. No FDA clearance. Not available at consumer retail. The competitive risk is real but slower than implied. Update language to “announced research initiative” rather than “shipping.”</w:t>
      </w:r>
    </w:p>
    <w:p>
      <w:pPr>
        <w:pStyle w:val="Heading3"/>
        <w:spacing w:after="80" w:before="180"/>
      </w:pPr>
      <w:r>
        <w:rPr>
          <w:rFonts w:ascii="Arial" w:cs="Arial" w:eastAsia="Arial" w:hAnsi="Arial"/>
          <w:b/>
          <w:bCs/>
          <w:color w:val="1F3864"/>
          <w:sz w:val="23"/>
          <w:szCs w:val="23"/>
        </w:rPr>
        <w:t xml:space="preserve">2. Apple × Eli Lilly cognitive research — unverified</w:t>
      </w:r>
    </w:p>
    <w:p>
      <w:pPr>
        <w:spacing w:after="120" w:line="276"/>
        <w:jc w:val="left"/>
      </w:pPr>
      <w:r>
        <w:rPr>
          <w:rFonts w:ascii="Arial" w:cs="Arial" w:eastAsia="Arial" w:hAnsi="Arial"/>
          <w:b w:val="false"/>
          <w:bCs w:val="false"/>
          <w:i w:val="false"/>
          <w:iCs w:val="false"/>
          <w:color w:val="000000"/>
          <w:sz w:val="22"/>
          <w:szCs w:val="22"/>
        </w:rPr>
        <w:t xml:space="preserve">The analysis cited an Apple × Eli Lilly collaboration. Web search in April 2026 did NOT confirm a current public partnership. The 2024–2025 Apple + Lilly research was reported; no 2026 follow-up has been verified. Downgrade this from “live collaboration” to “2024–2025 research published; current status unclear.”</w:t>
      </w:r>
    </w:p>
    <w:p>
      <w:pPr>
        <w:pStyle w:val="Heading3"/>
        <w:spacing w:after="80" w:before="180"/>
      </w:pPr>
      <w:r>
        <w:rPr>
          <w:rFonts w:ascii="Arial" w:cs="Arial" w:eastAsia="Arial" w:hAnsi="Arial"/>
          <w:b/>
          <w:bCs/>
          <w:color w:val="1F3864"/>
          <w:sz w:val="23"/>
          <w:szCs w:val="23"/>
        </w:rPr>
        <w:t xml:space="preserve">3. Missed 2025–2026 dementia-AI products</w:t>
      </w:r>
    </w:p>
    <w:p>
      <w:pPr>
        <w:spacing w:after="120" w:line="276"/>
        <w:jc w:val="left"/>
      </w:pPr>
      <w:r>
        <w:rPr>
          <w:rFonts w:ascii="Arial" w:cs="Arial" w:eastAsia="Arial" w:hAnsi="Arial"/>
          <w:b w:val="false"/>
          <w:bCs w:val="false"/>
          <w:i w:val="false"/>
          <w:iCs w:val="false"/>
          <w:color w:val="000000"/>
          <w:sz w:val="22"/>
          <w:szCs w:val="22"/>
        </w:rPr>
        <w:t xml:space="preserve">Three products launched or gained visibility in 2025–2026 that were not in the original competitive sweep and should be added to the watch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Product</w:t>
            </w:r>
          </w:p>
        </w:tc>
        <w:tc>
          <w:tcPr>
            <w:tcW w:type="dxa" w:w="26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Origin</w:t>
            </w:r>
          </w:p>
        </w:tc>
        <w:tc>
          <w:tcPr>
            <w:tcW w:type="dxa" w:w="24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Claim</w:t>
            </w:r>
          </w:p>
        </w:tc>
        <w:tc>
          <w:tcPr>
            <w:tcW w:type="dxa" w:w="236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Why it matters to ReCall</w:t>
            </w:r>
          </w:p>
        </w:tc>
      </w:tr>
      <w:tr>
        <w:tc>
          <w:tcPr>
            <w:tcW w:type="dxa" w:w="20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Pensieve-AI</w:t>
            </w:r>
          </w:p>
        </w:tc>
        <w:tc>
          <w:tcPr>
            <w:tcW w:type="dxa" w:w="26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Singapore General Hospital + GovTech, rolling out 2026</w:t>
            </w:r>
          </w:p>
        </w:tc>
        <w:tc>
          <w:tcPr>
            <w:tcW w:type="dxa" w:w="2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Stylus-based drawing task + AI analysis; 93% pre-dementia detection claimed.</w:t>
            </w:r>
          </w:p>
        </w:tc>
        <w:tc>
          <w:tcPr>
            <w:tcW w:type="dxa" w:w="2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Clinically rigorous pre-diagnosis tool. Complementary to ReCall (different user moment), but it owns the pre-diagnosis-screening story — position ReCall clearly as post-diagnosis support.</w:t>
            </w:r>
          </w:p>
        </w:tc>
      </w:tr>
      <w:tr>
        <w:tc>
          <w:tcPr>
            <w:tcW w:type="dxa" w:w="20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Lenovo Alzheimer’s Intelligence Avatar</w:t>
            </w:r>
          </w:p>
        </w:tc>
        <w:tc>
          <w:tcPr>
            <w:tcW w:type="dxa" w:w="26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Lenovo, Dec 2024</w:t>
            </w:r>
          </w:p>
        </w:tc>
        <w:tc>
          <w:tcPr>
            <w:tcW w:type="dxa" w:w="2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Photorealistic 3D conversational companion; factuality + privacy focused.</w:t>
            </w:r>
          </w:p>
        </w:tc>
        <w:tc>
          <w:tcPr>
            <w:tcW w:type="dxa" w:w="2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Directly adjacent to ReCall’s voice-companion direction. The avatar modality is a bet ReCall has not made. Worth watching for engagement data.</w:t>
            </w:r>
          </w:p>
        </w:tc>
      </w:tr>
      <w:tr>
        <w:tc>
          <w:tcPr>
            <w:tcW w:type="dxa" w:w="20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CareYaya MedaCareLLM Smart Glasses</w:t>
            </w:r>
          </w:p>
        </w:tc>
        <w:tc>
          <w:tcPr>
            <w:tcW w:type="dxa" w:w="26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CareYaya, 2024</w:t>
            </w:r>
          </w:p>
        </w:tc>
        <w:tc>
          <w:tcPr>
            <w:tcW w:type="dxa" w:w="2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Wearable glasses doing real-time object / face recognition for ADLs.</w:t>
            </w:r>
          </w:p>
        </w:tc>
        <w:tc>
          <w:tcPr>
            <w:tcW w:type="dxa" w:w="23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Different form factor (wearable vs. phone). If glasses take off, ReCall’s phone-first model may need a companion wearable integration in Phase 3+.</w:t>
            </w:r>
          </w:p>
        </w:tc>
      </w:tr>
    </w:tbl>
    <w:p>
      <w:pPr>
        <w:pStyle w:val="Heading1"/>
        <w:spacing w:after="160" w:before="280"/>
      </w:pPr>
      <w:r>
        <w:rPr>
          <w:rFonts w:ascii="Arial" w:cs="Arial" w:eastAsia="Arial" w:hAnsi="Arial"/>
          <w:b/>
          <w:bCs/>
          <w:color w:val="1F3864"/>
          <w:sz w:val="32"/>
          <w:szCs w:val="32"/>
        </w:rPr>
        <w:t xml:space="preserve">Summary: New Features in the Prioritizer</w:t>
      </w:r>
    </w:p>
    <w:p>
      <w:pPr>
        <w:spacing w:after="120" w:line="276"/>
        <w:jc w:val="left"/>
      </w:pPr>
      <w:r>
        <w:rPr>
          <w:rFonts w:ascii="Arial" w:cs="Arial" w:eastAsia="Arial" w:hAnsi="Arial"/>
          <w:b w:val="false"/>
          <w:bCs w:val="false"/>
          <w:i w:val="false"/>
          <w:iCs w:val="false"/>
          <w:color w:val="000000"/>
          <w:sz w:val="22"/>
          <w:szCs w:val="22"/>
        </w:rPr>
        <w:t xml:space="preserve">14 new feature cards have been added to the interactive prioritizer, spanning MVP-architectural through Phase 3+. The tool is the working artifact; this document is the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Feature (new card)</w:t>
            </w:r>
          </w:p>
        </w:tc>
        <w:tc>
          <w:tcPr>
            <w:tcW w:type="dxa" w:w="18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Tier</w:t>
            </w:r>
          </w:p>
        </w:tc>
        <w:tc>
          <w:tcPr>
            <w:tcW w:type="dxa" w:w="180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Kano / Release</w:t>
            </w:r>
          </w:p>
        </w:tc>
        <w:tc>
          <w:tcPr>
            <w:tcW w:type="dxa" w:w="2760"/>
            <w:tcBorders>
              <w:top w:val="single" w:color="CCCCCC" w:sz="1"/>
              <w:left w:val="single" w:color="CCCCCC" w:sz="1"/>
              <w:bottom w:val="single" w:color="CCCCCC" w:sz="1"/>
              <w:right w:val="single" w:color="CCCCCC" w:sz="1"/>
            </w:tcBorders>
            <w:shd w:fill="E7ECF3" w:val="clear"/>
            <w:tcMar>
              <w:top w:type="dxa" w:w="80"/>
              <w:left w:type="dxa" w:w="120"/>
              <w:bottom w:type="dxa" w:w="80"/>
              <w:right w:type="dxa" w:w="120"/>
            </w:tcMar>
            <w:vAlign w:val="top"/>
          </w:tcPr>
          <w:p>
            <w:pPr>
              <w:spacing w:after="40" w:line="264"/>
            </w:pPr>
            <w:r>
              <w:rPr>
                <w:rFonts w:ascii="Arial" w:cs="Arial" w:eastAsia="Arial" w:hAnsi="Arial"/>
                <w:b/>
                <w:bCs/>
                <w:i w:val="false"/>
                <w:iCs w:val="false"/>
                <w:color w:val="000000"/>
                <w:sz w:val="20"/>
                <w:szCs w:val="20"/>
              </w:rPr>
              <w:t xml:space="preserve">Backing capability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Spatial context narration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Phase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Multimodal VLM (A1)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VLM-backed object recognition (architectural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MVP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Multimodal VLM (A1)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Embeddings-backed semantic search (architectural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MVP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Cross-modal embeddings (A8)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Cross-modal unified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Phase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Cross-modal embeddings (A8)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Privacy Mode (on-device 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Phase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On-device LLMs (A2)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Voice-cloned self-reminders (own voice)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Attractive / MVP+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ElevenLabs voice cloning (A3)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Emotional TTS for morning voice briefing (upgrade)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MVP+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Expressive TTS (A5)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Narrative caregiver digest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Phase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Long-context summarization (A4)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Voice-to-structured caregiver log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Performance / Phase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Structured extraction (A6)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Bilingual conversation 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Attractive / Phase 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Real-time translation (A7)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Voice cloning for loved ones (with consent)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Adopt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Attractive / Phase 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ElevenLabs voice cloning (A3)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Adaptive difficulty for Active Recall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Watch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Attractive / Phase 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Adaptive curriculum (B11)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Voice distress / emotion trend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Watch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Attractive / Phase 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Voice emotion detection (B9)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Caregiver admin agent (task execution)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Watch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Attractive / Phase 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line="264"/>
            </w:pPr>
            <w:r>
              <w:rPr>
                <w:rFonts w:ascii="Arial" w:cs="Arial" w:eastAsia="Arial" w:hAnsi="Arial"/>
                <w:b w:val="false"/>
                <w:bCs w:val="false"/>
                <w:i w:val="false"/>
                <w:iCs w:val="false"/>
                <w:color w:val="000000"/>
                <w:sz w:val="19"/>
                <w:szCs w:val="19"/>
              </w:rPr>
              <w:t xml:space="preserve">Agentic execution (B10)</w:t>
            </w:r>
          </w:p>
        </w:tc>
      </w:tr>
    </w:tbl>
    <w:p>
      <w:pPr>
        <w:pStyle w:val="Heading1"/>
        <w:spacing w:after="160" w:before="280"/>
      </w:pPr>
      <w:r>
        <w:rPr>
          <w:rFonts w:ascii="Arial" w:cs="Arial" w:eastAsia="Arial" w:hAnsi="Arial"/>
          <w:b/>
          <w:bCs/>
          <w:color w:val="1F3864"/>
          <w:sz w:val="32"/>
          <w:szCs w:val="32"/>
        </w:rPr>
        <w:t xml:space="preserve">Recommended Next Steps</w:t>
      </w:r>
    </w:p>
    <w:p>
      <w:pPr>
        <w:pStyle w:val="ListParagraph"/>
        <w:numPr>
          <w:ilvl w:val="0"/>
          <w:numId w:val="2"/>
        </w:numPr>
        <w:spacing w:after="80" w:line="276"/>
      </w:pPr>
      <w:r>
        <w:rPr>
          <w:rFonts w:ascii="Arial" w:cs="Arial" w:eastAsia="Arial" w:hAnsi="Arial"/>
          <w:sz w:val="22"/>
          <w:szCs w:val="22"/>
        </w:rPr>
        <w:t xml:space="preserve">Lock the 4 MVP architectural implications before starting summer build. Write them into the MVP technical spec.</w:t>
      </w:r>
    </w:p>
    <w:p>
      <w:pPr>
        <w:pStyle w:val="ListParagraph"/>
        <w:numPr>
          <w:ilvl w:val="0"/>
          <w:numId w:val="2"/>
        </w:numPr>
        <w:spacing w:after="80" w:line="276"/>
      </w:pPr>
      <w:r>
        <w:rPr>
          <w:rFonts w:ascii="Arial" w:cs="Arial" w:eastAsia="Arial" w:hAnsi="Arial"/>
          <w:sz w:val="22"/>
          <w:szCs w:val="22"/>
        </w:rPr>
        <w:t xml:space="preserve">Run the ElevenLabs voice-cloning PoC (1 week) before deciding whether to promote voice cloning from Phase 2 to MVP+.</w:t>
      </w:r>
    </w:p>
    <w:p>
      <w:pPr>
        <w:pStyle w:val="ListParagraph"/>
        <w:numPr>
          <w:ilvl w:val="0"/>
          <w:numId w:val="2"/>
        </w:numPr>
        <w:spacing w:after="80" w:line="276"/>
      </w:pPr>
      <w:r>
        <w:rPr>
          <w:rFonts w:ascii="Arial" w:cs="Arial" w:eastAsia="Arial" w:hAnsi="Arial"/>
          <w:sz w:val="22"/>
          <w:szCs w:val="22"/>
        </w:rPr>
        <w:t xml:space="preserve">When you contact a clinical advisor (per the competitive analysis recommendation), ask them specifically about voice emotion detection in dementia populations — this gates Tier B9 entirely.</w:t>
      </w:r>
    </w:p>
    <w:p>
      <w:pPr>
        <w:pStyle w:val="ListParagraph"/>
        <w:numPr>
          <w:ilvl w:val="0"/>
          <w:numId w:val="2"/>
        </w:numPr>
        <w:spacing w:after="80" w:line="276"/>
      </w:pPr>
      <w:r>
        <w:rPr>
          <w:rFonts w:ascii="Arial" w:cs="Arial" w:eastAsia="Arial" w:hAnsi="Arial"/>
          <w:sz w:val="22"/>
          <w:szCs w:val="22"/>
        </w:rPr>
        <w:t xml:space="preserve">Update the Competitive Analysis document with the three errata + the three missed products (Pensieve-AI, Lenovo, CareYaya) at the next revision.</w:t>
      </w:r>
    </w:p>
    <w:p>
      <w:pPr>
        <w:pStyle w:val="ListParagraph"/>
        <w:numPr>
          <w:ilvl w:val="0"/>
          <w:numId w:val="2"/>
        </w:numPr>
        <w:spacing w:after="80" w:line="276"/>
      </w:pPr>
      <w:r>
        <w:rPr>
          <w:rFonts w:ascii="Arial" w:cs="Arial" w:eastAsia="Arial" w:hAnsi="Arial"/>
          <w:sz w:val="22"/>
          <w:szCs w:val="22"/>
        </w:rPr>
        <w:t xml:space="preserve">Revisit agentic task execution (Claude Computer Use) in Q4 2026. If reliability benchmarks improve, Phase 3 caregiver-admin agent becomes a serious candidate.</w:t>
      </w:r>
    </w:p>
    <w:sectPr>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ReCall — AI Capability Scan  ·  April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 AI Capability Scan</dc:title>
  <dc:creator>Dr. Aria Bennett</dc:creator>
  <cp:lastModifiedBy>Un-named</cp:lastModifiedBy>
  <cp:revision>1</cp:revision>
  <dcterms:created xsi:type="dcterms:W3CDTF">2026-04-16T20:49:41.949Z</dcterms:created>
  <dcterms:modified xsi:type="dcterms:W3CDTF">2026-04-16T20:49:41.950Z</dcterms:modified>
</cp:coreProperties>
</file>

<file path=docProps/custom.xml><?xml version="1.0" encoding="utf-8"?>
<Properties xmlns="http://schemas.openxmlformats.org/officeDocument/2006/custom-properties" xmlns:vt="http://schemas.openxmlformats.org/officeDocument/2006/docPropsVTypes"/>
</file>