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TRANSFORMER FLEET HEALTH</w:t>
      </w:r>
    </w:p>
    <w:p>
      <w:pPr>
        <w:spacing w:after="200"/>
        <w:jc w:val="center"/>
      </w:pPr>
      <w:r>
        <w:rPr>
          <w:b/>
          <w:bCs/>
          <w:color w:val="2E75B6"/>
          <w:sz w:val="22"/>
          <w:szCs w:val="22"/>
        </w:rPr>
        <w:t xml:space="preserve">Predictive Analytics Summary Report — 500 Transformers</w:t>
      </w:r>
    </w:p>
    <w:p>
      <w:pPr>
        <w:pStyle w:val="Heading1"/>
        <w:spacing w:after="140" w:before="320"/>
      </w:pPr>
      <w:r>
        <w:t xml:space="preserve">1. Executive Summary</w:t>
      </w:r>
    </w:p>
    <w:p>
      <w:pPr>
        <w:spacing w:after="130" w:line="268"/>
      </w:pPr>
      <w:r>
        <w:t xml:space="preserve">This report analyzes 500 power transformers (11 kV class) using 11 sensor/asset features and one cooling-mode feature to classify Health_Status as Healthy, Warning, or Critical. The dataset was complete (no missing values, no duplicates) and required minimal cleaning.</w:t>
      </w:r>
    </w:p>
    <w:p>
      <w:pPr>
        <w:spacing w:after="130" w:line="268"/>
      </w:pPr>
      <w:r>
        <w:t xml:space="preserve">24.4% of the fleet is currently Critical and 44.6% is in Warning — only 31% is fully Healthy. Two degradation pathways drive this: an aging/insulation cluster (age, moisture, dissolved gas, vibration, partial discharge) and an electrical-loading/thermal cluster (current, load, temperature). Vibration, oil/winding temperature, and dissolved gas are the strongest health predictors across every method tested. A baseline Random Forest classifier reached 96.8% test accuracy, confirming a production predictive-maintenance model is readily achievable.</w:t>
      </w:r>
    </w:p>
    <w:p>
      <w:pPr>
        <w:pBdr>
          <w:left w:val="single" w:color="2E75B6" w:sz="24" w:space="8"/>
        </w:pBdr>
        <w:shd w:fill="DCE6F1" w:val="clear"/>
        <w:spacing w:after="180" w:before="100"/>
      </w:pPr>
      <w:r>
        <w:rPr>
          <w:b/>
          <w:bCs/>
          <w:color w:val="1F3864"/>
        </w:rPr>
        <w:t xml:space="preserve">Key Takeaway:  </w:t>
      </w:r>
      <w:r>
        <w:t xml:space="preserve">Prioritize inspection of the 122 Critical-flagged units, deploy the validated model as a live scoring service, and invest sensor budget in vibration, temperature, and dissolved-gas monitoring — the highest-value signals identified.</w:t>
      </w:r>
    </w:p>
    <w:p>
      <w:pPr>
        <w:pStyle w:val="Heading1"/>
        <w:spacing w:after="140" w:before="320"/>
      </w:pPr>
      <w:r>
        <w:t xml:space="preserve">2. Data Overview &amp; Quality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/ Columns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/ 15</w:t>
            </w:r>
          </w:p>
        </w:tc>
      </w:tr>
      <w:t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5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variable</w:t>
            </w:r>
          </w:p>
        </w:tc>
        <w:tc>
          <w:tcPr>
            <w:tcW w:type="dxa" w:w="5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Health_Status (Healthy / Warning / Critical)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Problem type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Multi-class Classification</w:t>
            </w:r>
          </w:p>
        </w:tc>
      </w:tr>
    </w:tbl>
    <w:p>
      <w:pPr>
        <w:spacing w:after="100"/>
      </w:pPr>
    </w:p>
    <w:p>
      <w:pPr>
        <w:spacing w:after="130" w:line="268"/>
      </w:pPr>
      <w:r>
        <w:t xml:space="preserve">The data is clean and complete — no missing values, duplicates, or invalid entries were found, so cleaning effort focused on validation rather than repair. Voltage_kV is constant (11.0 kV) across all units and was dropped as non-informative. Cooling_Status was label-encoded; numeric features were standardized for scale-sensitive models. IQR outlier screening flagged zero outliers on every numeric feature.</w:t>
      </w:r>
    </w:p>
    <w:p>
      <w:pPr>
        <w:pStyle w:val="Heading1"/>
        <w:spacing w:after="140" w:before="320"/>
      </w:pPr>
      <w:r>
        <w:t xml:space="preserve">3. Descriptive Statistics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100"/>
        <w:gridCol w:w="12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Skew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Outliers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Age_Years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8.83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Oil_Temperature_C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76.98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77.45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8.04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-0.09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Winding_Temperature_C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86.83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87.30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8.28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Ambient_Temperature_C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6.91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Current_A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302.18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300.55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86.81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Load_Percentage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67.17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67.00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19.32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Oil_Level_Percentage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93.46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93.50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3.77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-0.06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Moisture_ppm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21.12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20.90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7.40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Dissolved_Gas_ppm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322.95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317.55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98.75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Vibration_mm_s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-0.08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Partial_Discharge_pC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51.94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50.15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19.04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00"/>
      </w:pPr>
    </w:p>
    <w:p>
      <w:pPr>
        <w:spacing w:after="130" w:line="268"/>
      </w:pPr>
      <w:r>
        <w:t xml:space="preserve">All features are close to symmetric (|skew| &lt; 0.15) with no IQR outliers, indicating readings span the full healthy-to-critical range rather than clustering around a "normal" value with rare extremes.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Visual Analysis</w:t>
      </w:r>
    </w:p>
    <w:p>
      <w:pPr>
        <w:pStyle w:val="Heading2"/>
        <w:spacing w:after="100" w:before="220"/>
      </w:pPr>
      <w:r>
        <w:t xml:space="preserve">4.1 Feature Distributions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1. Distribution of all numeric sensor features.</w:t>
      </w:r>
    </w:p>
    <w:p>
      <w:pPr>
        <w:spacing w:after="130" w:line="268"/>
      </w:pPr>
      <w:r>
        <w:t xml:space="preserve">Distributions are broad and roughly symmetric with no sharp "normal" peak — meaning simple fixed-threshold alarms will be unreliable and a multivariate model is needed to separate health classes.</w:t>
      </w:r>
    </w:p>
    <w:p>
      <w:pPr>
        <w:pStyle w:val="Heading2"/>
        <w:spacing w:after="100" w:before="220"/>
      </w:pPr>
      <w:r>
        <w:t xml:space="preserve">4.2 Key Indicators by Health Status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2. Six fault indicators compared across Healthy / Warning / Critical.</w:t>
      </w:r>
    </w:p>
    <w:p>
      <w:pPr>
        <w:spacing w:after="130" w:line="268"/>
      </w:pPr>
      <w:r>
        <w:t xml:space="preserve">Medians step clearly upward (or downward) from Healthy to Critical for every variable shown, confirming these are strong, monotonic health indicators suitable for both a diagnostic dashboard and model features.</w:t>
      </w:r>
    </w:p>
    <w:p>
      <w:pPr>
        <w:pStyle w:val="Heading2"/>
        <w:spacing w:after="100" w:before="220"/>
      </w:pPr>
      <w:r>
        <w:t xml:space="preserve">4.3 Correlation Structure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3. Pearson correlation heatmap of numeric features.</w:t>
      </w:r>
    </w:p>
    <w:p>
      <w:pPr>
        <w:spacing w:after="130" w:line="268"/>
      </w:pPr>
      <w:r>
        <w:t xml:space="preserve">Two clusters dominate: an electrical-loading cluster (current, load, temperature) and an aging/degradation cluster (age, moisture, gas, vibration, partial discharge). Current_A and Load_Percentage are near-duplicate measurements (r = 0.999).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1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 A</w:t>
            </w:r>
          </w:p>
        </w:tc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 B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Current_A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Load_Percentage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Age_Years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Moisture_ppm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Oil_Temperature_C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Winding_Temperature_C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Dissolved_Gas_ppm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Partial_Discharge_pC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Age_Years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Partial_Discharge_pC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Dissolved_Gas_ppm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Vibration_mm_s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t xml:space="preserve">4.4 Feature Importance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4. Random Forest feature importance for Health_Status.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3800"/>
      </w:tblGrid>
      <w:tr>
        <w:trPr>
          <w:tblHeader/>
        </w:trPr>
        <w:tc>
          <w:tcPr>
            <w:tcW w:type="dxa" w:w="4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 Importance</w:t>
            </w:r>
          </w:p>
        </w:tc>
      </w:tr>
      <w:tr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Vibration_mm_s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0.201</w:t>
            </w:r>
          </w:p>
        </w:tc>
      </w:tr>
      <w:tr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Oil_Temperature_C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0.180</w:t>
            </w:r>
          </w:p>
        </w:tc>
      </w:tr>
      <w:tr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Winding_Temperature_C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0.157</w:t>
            </w:r>
          </w:p>
        </w:tc>
      </w:tr>
      <w:tr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Dissolved_Gas_ppm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0.143</w:t>
            </w:r>
          </w:p>
        </w:tc>
      </w:tr>
      <w:tr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Partial_Discharge_pC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0.089</w:t>
            </w:r>
          </w:p>
        </w:tc>
      </w:tr>
      <w:tr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Moisture_ppm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0.066</w:t>
            </w:r>
          </w:p>
        </w:tc>
      </w:tr>
    </w:tbl>
    <w:p>
      <w:pPr>
        <w:spacing w:after="130" w:line="268"/>
      </w:pPr>
      <w:r>
        <w:t xml:space="preserve">Vibration, oil/winding temperature, and dissolved gas dominate — Ambient_Temperature_C and Cooling_Status contribute almost nothing, since they are reactive/contextual rather than causal signals.</w:t>
      </w:r>
    </w:p>
    <w:p>
      <w:pPr>
        <w:pStyle w:val="Heading2"/>
        <w:spacing w:after="100" w:before="220"/>
      </w:pPr>
      <w:r>
        <w:t xml:space="preserve">4.5 Fleet Health &amp; Cooling Mix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5. Transformer counts by Health Status, and Cooling Status split by Health Status.</w:t>
      </w:r>
    </w:p>
    <w:p>
      <w:pPr>
        <w:spacing w:after="130" w:line="268"/>
      </w:pPr>
      <w:r>
        <w:t xml:space="preserve">Warning is the largest group (223, 44.6%), followed by Healthy (155, 31.0%) and Critical (122, 24.4%). Cooling mode shows only a marginal association with health (Chi-square p = 0.052), consistent with its low feature importance.</w:t>
      </w:r>
    </w:p>
    <w:p>
      <w:pPr>
        <w:pStyle w:val="Heading2"/>
        <w:spacing w:after="100" w:before="220"/>
      </w:pPr>
      <w:r>
        <w:t xml:space="preserve">4.6 Model Performance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6. Random Forest confusion matrix on held-out test data.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1900"/>
        <w:gridCol w:w="1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96.8%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97.1%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96.3%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96.7%</w:t>
            </w:r>
          </w:p>
        </w:tc>
      </w:tr>
      <w:t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94.4%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94.8%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94.0%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94.4%</w:t>
            </w:r>
          </w:p>
        </w:tc>
      </w:tr>
    </w:tbl>
    <w:p>
      <w:pPr>
        <w:spacing w:after="100"/>
      </w:pPr>
    </w:p>
    <w:p>
      <w:pPr>
        <w:spacing w:after="130" w:line="268"/>
      </w:pPr>
      <w:r>
        <w:t xml:space="preserve">Random Forest outperforms Logistic Regression, which is held back by multicollinearity among sensor features. Tree-based ensembles (Random Forest, XGBoost, LightGBM) are recommended for production use since they handle correlated inputs natively and capture non-linear thresholds.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5. Statistical Validation</w:t>
      </w:r>
    </w:p>
    <w:p>
      <w:pPr>
        <w:spacing w:after="130" w:line="268"/>
      </w:pPr>
      <w:r>
        <w:t xml:space="preserve">One-way ANOVA (H0: equal means across Healthy/Warning/Critical) confirms every numeric feature differs significantly by health group (p &lt; 0.05); the strongest discriminators by F-statistic are shown below — closely matching the feature-importance ranking above.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900"/>
        <w:gridCol w:w="21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F-statistic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Dissolved_Gas_ppm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558.5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Vibration_mm_s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534.4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Partial_Discharge_pC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506.3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Oil_Temperature_C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382.7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Winding_Temperature_C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336.7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Age_Years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271.0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</w:tbl>
    <w:p>
      <w:pPr>
        <w:spacing w:after="100"/>
      </w:pPr>
    </w:p>
    <w:p>
      <w:pPr>
        <w:spacing w:after="130" w:line="268"/>
      </w:pPr>
      <w:r>
        <w:t xml:space="preserve">A Chi-square test of Cooling_Status vs. Health_Status (χ² = 9.41, df = 4, p = 0.052) found no strong association — cooling mode is a reactive symptom, not an independent risk driver.</w:t>
      </w:r>
    </w:p>
    <w:p>
      <w:pPr>
        <w:pStyle w:val="Heading1"/>
        <w:spacing w:after="140" w:before="320"/>
      </w:pPr>
      <w:r>
        <w:t xml:space="preserve">6. Business Insights &amp; Recommendations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69% of the fleet shows some degradation (Warning + Critical) — this is a programmatic aging issue, not isolated bad units.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Prioritize inspection of the 122 Critical units within 30 days, ranked by dissolved gas and vibration magnitude.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Deploy the Random Forest model as a live scoring service to shift from calendar-based to condition-based maintenance.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Invest sensor budget in vibration, temperature, and dissolved-gas monitoring — the highest-value signals — over ambient temperature or cooling status.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Track KPIs: % fleet Critical, mean dissolved gas/vibration trend, and model recall on the Critical class specifically (missed Critical units are the costliest error).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Use the clear age–health relationship to support age-tiered capital replacement planning.</w:t>
      </w:r>
    </w:p>
    <w:p>
      <w:pPr>
        <w:pStyle w:val="Heading1"/>
        <w:spacing w:after="140" w:before="320"/>
      </w:pPr>
      <w:r>
        <w:t xml:space="preserve">7. Limitations &amp; Future Work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No timestamp field — this is a snapshot, not a time series, so trend-based early warning is not yet possible; collecting longitudinal data is the top priority for future work.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Unusually clean, symmetric, zero-outlier data suggests this may be simulated or pre-processed; real deployment data should be expected to be noisier.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Missing context (manufacturer, installation type, maintenance/failure history) would likely sharpen root-cause attribution.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t xml:space="preserve">Next steps: SHAP/LIME explainability per prediction, XGBoost/LightGBM benchmarking, and a Power BI/Tableau dashboard for daily operational use.</w:t>
      </w:r>
    </w:p>
    <w:sectPr>
      <w:pgSz w:w="12240" w:h="15840" w:orient="portrait"/>
      <w:pgMar w:top="1260" w:right="1350" w:bottom="126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95fe6b436f682901062b04a04ab638b28fba38.png"/><Relationship Id="rId8" Type="http://schemas.openxmlformats.org/officeDocument/2006/relationships/image" Target="media/d9d5716a66cea1208262fe6cbe8cd7905d349644.png"/><Relationship Id="rId9" Type="http://schemas.openxmlformats.org/officeDocument/2006/relationships/image" Target="media/fa42809de15f471f24ba47b2ac59d84defba9029.png"/><Relationship Id="rId10" Type="http://schemas.openxmlformats.org/officeDocument/2006/relationships/image" Target="media/869a74f9066adecaad2e69e80dba284048607ae1.png"/><Relationship Id="rId11" Type="http://schemas.openxmlformats.org/officeDocument/2006/relationships/image" Target="media/d73351357304ab7abf333e1c3fa0663457ba6678.png"/><Relationship Id="rId12" Type="http://schemas.openxmlformats.org/officeDocument/2006/relationships/image" Target="media/d5b925c0667ffb3c3e68405e01f05c617a20014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2026-07-30T09:18:13.064Z</dcterms:created>
  <dcterms:modified xsi:type="dcterms:W3CDTF">2026-07-30T09:18:13.076Z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