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pPr>
        <w:pStyle w:val="Heading2"/>
      </w:pPr>
      <w:r>
        <w:t xml:space="preserve">Financial Summary</w:t>
      </w:r>
    </w:p>
    <w:p>
      <w:r>
        <w:rPr>
          <w:b/>
          <w:bCs/>
        </w:rPr>
        <w:t xml:space="preserve">Revenue</w:t>
      </w:r>
      <w:r>
        <w:t xml:space="preserve"> grew by </w:t>
      </w:r>
      <w:r>
        <w:rPr>
          <w:i/>
          <w:iCs/>
        </w:rPr>
        <w:t xml:space="preserve">12 percent</w:t>
      </w:r>
      <w:r>
        <w:t xml:space="preserve"> this quarter.</w:t>
      </w:r>
    </w:p>
    <w:p>
      <w:pPr>
        <w:pStyle w:val="ListParagraph"/>
        <w:numPr>
          <w:ilvl w:val="0"/>
          <w:numId w:val="1"/>
        </w:numPr>
      </w:pPr>
      <w:r>
        <w:t xml:space="preserve">North region</w:t>
      </w:r>
    </w:p>
    <w:p>
      <w:pPr>
        <w:pStyle w:val="ListParagraph"/>
        <w:numPr>
          <w:ilvl w:val="0"/>
          <w:numId w:val="1"/>
        </w:numPr>
      </w:pPr>
      <w:r>
        <w:t xml:space="preserve">South region</w:t>
      </w:r>
    </w:p>
    <w:p>
      <w:pPr>
        <w:pStyle w:val="ListParagraph"/>
        <w:numPr>
          <w:ilvl w:val="0"/>
          <w:numId w:val="1"/>
        </w:numPr>
      </w:pPr>
      <w:r>
        <w:t xml:space="preserve">East region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Region</w:t>
            </w:r>
          </w:p>
        </w:tc>
        <w:tc>
          <w:p>
            <w:r>
              <w:t xml:space="preserve">Sales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1200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980</w:t>
            </w:r>
          </w:p>
        </w:tc>
      </w:tr>
    </w:tbl>
    <w:p>
      <w:pPr>
        <w:jc w:val="center"/>
      </w:pPr>
      <w:r>
        <w:drawing>
          <wp:inline distT="0" distB="0" distL="0" distR="0">
            <wp:extent cx="1143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44f2b63d3cc0418f3e7d2dc93d277413c15d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2026-09-29T04:09:40.395Z</dcterms:created>
  <dcterms:modified xsi:type="dcterms:W3CDTF">2026-09-29T04:09:40.396Z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