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0E86D" w14:textId="77777777" w:rsidR="005418A0" w:rsidRPr="005418A0" w:rsidRDefault="005418A0" w:rsidP="005418A0">
      <w:pPr>
        <w:keepNext/>
        <w:keepLines/>
        <w:spacing w:before="480" w:after="240" w:line="240" w:lineRule="auto"/>
        <w:jc w:val="center"/>
        <w:rPr>
          <w:rFonts w:ascii="Calibri" w:eastAsia="Calibri" w:hAnsi="Calibri" w:cs="Calibri"/>
          <w:b/>
          <w:bCs/>
          <w:color w:val="1F3A5F"/>
          <w:kern w:val="0"/>
          <w:sz w:val="36"/>
          <w:szCs w:val="36"/>
          <w:lang w:val="en-US"/>
          <w14:ligatures w14:val="none"/>
        </w:rPr>
      </w:pPr>
      <w:r w:rsidRPr="005418A0">
        <w:rPr>
          <w:rFonts w:ascii="Calibri" w:eastAsia="Calibri" w:hAnsi="Calibri" w:cs="Calibri"/>
          <w:b/>
          <w:bCs/>
          <w:color w:val="1F3A5F"/>
          <w:kern w:val="0"/>
          <w:sz w:val="36"/>
          <w:szCs w:val="36"/>
          <w:lang w:val="en-US"/>
          <w14:ligatures w14:val="none"/>
        </w:rPr>
        <w:t>Q4 Experiment Log – Evaluating NotebookLM for Academic Use</w:t>
      </w:r>
    </w:p>
    <w:p w14:paraId="5DD17676" w14:textId="77777777" w:rsidR="005418A0" w:rsidRPr="005418A0" w:rsidRDefault="005418A0" w:rsidP="005418A0">
      <w:pPr>
        <w:keepNext/>
        <w:keepLines/>
        <w:spacing w:before="240" w:after="240" w:line="240" w:lineRule="auto"/>
        <w:jc w:val="center"/>
        <w:rPr>
          <w:rFonts w:ascii="Calibri" w:eastAsia="Calibri" w:hAnsi="Calibri" w:cs="Calibri"/>
          <w:b/>
          <w:bCs/>
          <w:color w:val="1F3A5F"/>
          <w:kern w:val="0"/>
          <w:sz w:val="30"/>
          <w:szCs w:val="30"/>
          <w:lang w:val="en-US"/>
          <w14:ligatures w14:val="none"/>
        </w:rPr>
      </w:pPr>
      <w:r w:rsidRPr="005418A0">
        <w:rPr>
          <w:rFonts w:ascii="Calibri" w:eastAsia="Calibri" w:hAnsi="Calibri" w:cs="Calibri"/>
          <w:b/>
          <w:bCs/>
          <w:color w:val="1F3A5F"/>
          <w:kern w:val="0"/>
          <w:sz w:val="30"/>
          <w:szCs w:val="30"/>
          <w:lang w:val="en-US"/>
          <w14:ligatures w14:val="none"/>
        </w:rPr>
        <w:t>BUS5001 Assessment 3 · Student ID 22623173</w:t>
      </w:r>
    </w:p>
    <w:p w14:paraId="47BA770A"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0" w:name="about-this-log"/>
      <w:r w:rsidRPr="005418A0">
        <w:rPr>
          <w:rFonts w:ascii="Calibri" w:eastAsia="Calibri" w:hAnsi="Calibri" w:cs="Calibri"/>
          <w:b/>
          <w:bCs/>
          <w:color w:val="1F3A5F"/>
          <w:kern w:val="0"/>
          <w:sz w:val="32"/>
          <w:szCs w:val="32"/>
          <w:lang w:val="en-US"/>
          <w14:ligatures w14:val="none"/>
        </w:rPr>
        <w:t>About this log</w:t>
      </w:r>
    </w:p>
    <w:p w14:paraId="5775A33B"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kern w:val="0"/>
          <w:lang w:val="en-US"/>
          <w14:ligatures w14:val="none"/>
        </w:rPr>
        <w:t>This log records the prompts used to test NotebookLM, the outputs it produced (copied unedited from NotebookLM), and how each output was checked. It supports Q4 of the report.</w:t>
      </w:r>
    </w:p>
    <w:tbl>
      <w:tblPr>
        <w:tblStyle w:val="Table"/>
        <w:tblW w:w="5000" w:type="pct"/>
        <w:tblLook w:val="0020" w:firstRow="1" w:lastRow="0" w:firstColumn="0" w:lastColumn="0" w:noHBand="0" w:noVBand="0"/>
      </w:tblPr>
      <w:tblGrid>
        <w:gridCol w:w="1409"/>
        <w:gridCol w:w="7951"/>
      </w:tblGrid>
      <w:tr w:rsidR="005418A0" w:rsidRPr="005418A0" w14:paraId="7CEC61E8" w14:textId="77777777" w:rsidTr="00FA00F8">
        <w:trPr>
          <w:cnfStyle w:val="100000000000" w:firstRow="1" w:lastRow="0" w:firstColumn="0" w:lastColumn="0" w:oddVBand="0" w:evenVBand="0" w:oddHBand="0" w:evenHBand="0" w:firstRowFirstColumn="0" w:firstRowLastColumn="0" w:lastRowFirstColumn="0" w:lastRowLastColumn="0"/>
          <w:tblHeader/>
        </w:trPr>
        <w:tc>
          <w:tcPr>
            <w:tcW w:w="0" w:type="auto"/>
          </w:tcPr>
          <w:p w14:paraId="5703FE27" w14:textId="77777777" w:rsidR="005418A0" w:rsidRPr="005418A0" w:rsidRDefault="005418A0" w:rsidP="005418A0">
            <w:pPr>
              <w:spacing w:before="36" w:after="36"/>
            </w:pPr>
            <w:r w:rsidRPr="005418A0">
              <w:t>Item</w:t>
            </w:r>
          </w:p>
        </w:tc>
        <w:tc>
          <w:tcPr>
            <w:tcW w:w="0" w:type="auto"/>
          </w:tcPr>
          <w:p w14:paraId="4F39F156" w14:textId="77777777" w:rsidR="005418A0" w:rsidRPr="005418A0" w:rsidRDefault="005418A0" w:rsidP="005418A0">
            <w:pPr>
              <w:spacing w:before="36" w:after="36"/>
            </w:pPr>
            <w:r w:rsidRPr="005418A0">
              <w:t>Detail</w:t>
            </w:r>
          </w:p>
        </w:tc>
      </w:tr>
      <w:tr w:rsidR="005418A0" w:rsidRPr="005418A0" w14:paraId="04C5B67E" w14:textId="77777777" w:rsidTr="00FA00F8">
        <w:tc>
          <w:tcPr>
            <w:tcW w:w="0" w:type="auto"/>
          </w:tcPr>
          <w:p w14:paraId="1374F02E" w14:textId="77777777" w:rsidR="005418A0" w:rsidRPr="005418A0" w:rsidRDefault="005418A0" w:rsidP="005418A0">
            <w:pPr>
              <w:spacing w:before="36" w:after="36"/>
            </w:pPr>
            <w:r w:rsidRPr="005418A0">
              <w:t>Tool</w:t>
            </w:r>
          </w:p>
        </w:tc>
        <w:tc>
          <w:tcPr>
            <w:tcW w:w="0" w:type="auto"/>
          </w:tcPr>
          <w:p w14:paraId="082EC199" w14:textId="77777777" w:rsidR="005418A0" w:rsidRPr="005418A0" w:rsidRDefault="005418A0" w:rsidP="005418A0">
            <w:pPr>
              <w:spacing w:before="36" w:after="36"/>
            </w:pPr>
            <w:r w:rsidRPr="005418A0">
              <w:t>Google NotebookLM, free version (shown in the interface as “Gemini Notebook”)</w:t>
            </w:r>
          </w:p>
        </w:tc>
      </w:tr>
      <w:tr w:rsidR="005418A0" w:rsidRPr="005418A0" w14:paraId="77C70569" w14:textId="77777777" w:rsidTr="00FA00F8">
        <w:tc>
          <w:tcPr>
            <w:tcW w:w="0" w:type="auto"/>
          </w:tcPr>
          <w:p w14:paraId="2FF6C42F" w14:textId="77777777" w:rsidR="005418A0" w:rsidRPr="005418A0" w:rsidRDefault="005418A0" w:rsidP="005418A0">
            <w:pPr>
              <w:spacing w:before="36" w:after="36"/>
            </w:pPr>
            <w:r w:rsidRPr="005418A0">
              <w:t>Notebook name</w:t>
            </w:r>
          </w:p>
        </w:tc>
        <w:tc>
          <w:tcPr>
            <w:tcW w:w="0" w:type="auto"/>
          </w:tcPr>
          <w:p w14:paraId="28D112B2" w14:textId="77777777" w:rsidR="005418A0" w:rsidRPr="005418A0" w:rsidRDefault="005418A0" w:rsidP="005418A0">
            <w:pPr>
              <w:spacing w:before="36" w:after="36"/>
            </w:pPr>
            <w:r w:rsidRPr="005418A0">
              <w:t>Australian Climate Reporting – AASB S2, ASIC and Dexus</w:t>
            </w:r>
          </w:p>
        </w:tc>
      </w:tr>
      <w:tr w:rsidR="005418A0" w:rsidRPr="005418A0" w14:paraId="7029F81C" w14:textId="77777777" w:rsidTr="00FA00F8">
        <w:tc>
          <w:tcPr>
            <w:tcW w:w="0" w:type="auto"/>
          </w:tcPr>
          <w:p w14:paraId="292789AD" w14:textId="77777777" w:rsidR="005418A0" w:rsidRPr="005418A0" w:rsidRDefault="005418A0" w:rsidP="005418A0">
            <w:pPr>
              <w:spacing w:before="36" w:after="36"/>
            </w:pPr>
            <w:r w:rsidRPr="005418A0">
              <w:t>Testing dates</w:t>
            </w:r>
          </w:p>
        </w:tc>
        <w:tc>
          <w:tcPr>
            <w:tcW w:w="0" w:type="auto"/>
          </w:tcPr>
          <w:p w14:paraId="6CD98757" w14:textId="77777777" w:rsidR="005418A0" w:rsidRPr="005418A0" w:rsidRDefault="005418A0" w:rsidP="005418A0">
            <w:pPr>
              <w:spacing w:before="36" w:after="36"/>
            </w:pPr>
            <w:r w:rsidRPr="005418A0">
              <w:t>8 October 2026 (Tests 1–4) and 15 October 2026 (Test 5)</w:t>
            </w:r>
          </w:p>
        </w:tc>
      </w:tr>
      <w:tr w:rsidR="005418A0" w:rsidRPr="005418A0" w14:paraId="52B53DDA" w14:textId="77777777" w:rsidTr="00FA00F8">
        <w:tc>
          <w:tcPr>
            <w:tcW w:w="0" w:type="auto"/>
          </w:tcPr>
          <w:p w14:paraId="15202C68" w14:textId="77777777" w:rsidR="005418A0" w:rsidRPr="005418A0" w:rsidRDefault="005418A0" w:rsidP="005418A0">
            <w:pPr>
              <w:spacing w:before="36" w:after="36"/>
            </w:pPr>
            <w:r w:rsidRPr="005418A0">
              <w:t>Scenario</w:t>
            </w:r>
          </w:p>
        </w:tc>
        <w:tc>
          <w:tcPr>
            <w:tcW w:w="0" w:type="auto"/>
          </w:tcPr>
          <w:p w14:paraId="0E544A5B" w14:textId="77777777" w:rsidR="005418A0" w:rsidRPr="005418A0" w:rsidRDefault="005418A0" w:rsidP="005418A0">
            <w:pPr>
              <w:spacing w:before="36" w:after="36"/>
            </w:pPr>
            <w:r w:rsidRPr="005418A0">
              <w:t>A postgraduate student preparing a briefing on what Australia’s mandatory climate reporting rules require, and how a major commercial property company responded in its first AASB S2 report</w:t>
            </w:r>
          </w:p>
        </w:tc>
      </w:tr>
    </w:tbl>
    <w:p w14:paraId="0E12C843" w14:textId="77777777" w:rsidR="005418A0" w:rsidRPr="005418A0" w:rsidRDefault="005418A0" w:rsidP="005418A0">
      <w:pPr>
        <w:keepNext/>
        <w:keepLines/>
        <w:spacing w:before="200" w:after="0" w:line="240" w:lineRule="auto"/>
        <w:outlineLvl w:val="1"/>
        <w:rPr>
          <w:rFonts w:ascii="Calibri" w:eastAsia="Calibri" w:hAnsi="Calibri" w:cs="Calibri"/>
          <w:b/>
          <w:bCs/>
          <w:color w:val="1F3A5F"/>
          <w:kern w:val="0"/>
          <w:sz w:val="28"/>
          <w:szCs w:val="28"/>
          <w:lang w:val="en-US"/>
          <w14:ligatures w14:val="none"/>
        </w:rPr>
      </w:pPr>
      <w:bookmarkStart w:id="1" w:name="sources-uploaded"/>
      <w:r w:rsidRPr="005418A0">
        <w:rPr>
          <w:rFonts w:ascii="Calibri" w:eastAsia="Calibri" w:hAnsi="Calibri" w:cs="Calibri"/>
          <w:b/>
          <w:bCs/>
          <w:color w:val="1F3A5F"/>
          <w:kern w:val="0"/>
          <w:sz w:val="28"/>
          <w:szCs w:val="28"/>
          <w:lang w:val="en-US"/>
          <w14:ligatures w14:val="none"/>
        </w:rPr>
        <w:t>Sources uploaded</w:t>
      </w:r>
    </w:p>
    <w:tbl>
      <w:tblPr>
        <w:tblStyle w:val="Table"/>
        <w:tblW w:w="0" w:type="auto"/>
        <w:tblLook w:val="0020" w:firstRow="1" w:lastRow="0" w:firstColumn="0" w:lastColumn="0" w:noHBand="0" w:noVBand="0"/>
      </w:tblPr>
      <w:tblGrid>
        <w:gridCol w:w="1189"/>
        <w:gridCol w:w="1336"/>
        <w:gridCol w:w="6835"/>
      </w:tblGrid>
      <w:tr w:rsidR="005418A0" w:rsidRPr="005418A0" w14:paraId="4F2081BB" w14:textId="77777777" w:rsidTr="00FA00F8">
        <w:trPr>
          <w:cnfStyle w:val="100000000000" w:firstRow="1" w:lastRow="0" w:firstColumn="0" w:lastColumn="0" w:oddVBand="0" w:evenVBand="0" w:oddHBand="0" w:evenHBand="0" w:firstRowFirstColumn="0" w:firstRowLastColumn="0" w:lastRowFirstColumn="0" w:lastRowLastColumn="0"/>
          <w:tblHeader/>
        </w:trPr>
        <w:tc>
          <w:tcPr>
            <w:tcW w:w="0" w:type="auto"/>
          </w:tcPr>
          <w:p w14:paraId="019973AE" w14:textId="77777777" w:rsidR="005418A0" w:rsidRPr="005418A0" w:rsidRDefault="005418A0" w:rsidP="005418A0">
            <w:pPr>
              <w:spacing w:before="36" w:after="36"/>
            </w:pPr>
            <w:r w:rsidRPr="005418A0">
              <w:t>File name</w:t>
            </w:r>
          </w:p>
        </w:tc>
        <w:tc>
          <w:tcPr>
            <w:tcW w:w="0" w:type="auto"/>
          </w:tcPr>
          <w:p w14:paraId="76F79CAB" w14:textId="77777777" w:rsidR="005418A0" w:rsidRPr="005418A0" w:rsidRDefault="005418A0" w:rsidP="005418A0">
            <w:pPr>
              <w:spacing w:before="36" w:after="36"/>
            </w:pPr>
            <w:r w:rsidRPr="005418A0">
              <w:t>Source</w:t>
            </w:r>
          </w:p>
        </w:tc>
        <w:tc>
          <w:tcPr>
            <w:tcW w:w="0" w:type="auto"/>
          </w:tcPr>
          <w:p w14:paraId="144250C0" w14:textId="77777777" w:rsidR="005418A0" w:rsidRPr="005418A0" w:rsidRDefault="005418A0" w:rsidP="005418A0">
            <w:pPr>
              <w:spacing w:before="36" w:after="36"/>
            </w:pPr>
            <w:r w:rsidRPr="005418A0">
              <w:t>Link</w:t>
            </w:r>
          </w:p>
        </w:tc>
      </w:tr>
      <w:tr w:rsidR="005418A0" w:rsidRPr="005418A0" w14:paraId="6E868C26" w14:textId="77777777" w:rsidTr="00FA00F8">
        <w:tc>
          <w:tcPr>
            <w:tcW w:w="0" w:type="auto"/>
          </w:tcPr>
          <w:p w14:paraId="2D1DD4AD" w14:textId="77777777" w:rsidR="005418A0" w:rsidRPr="005418A0" w:rsidRDefault="005418A0" w:rsidP="005418A0">
            <w:pPr>
              <w:spacing w:before="36" w:after="36"/>
            </w:pPr>
            <w:r w:rsidRPr="005418A0">
              <w:t>AASBS2.pdf</w:t>
            </w:r>
          </w:p>
        </w:tc>
        <w:tc>
          <w:tcPr>
            <w:tcW w:w="0" w:type="auto"/>
          </w:tcPr>
          <w:p w14:paraId="6C74C058" w14:textId="77777777" w:rsidR="005418A0" w:rsidRPr="005418A0" w:rsidRDefault="005418A0" w:rsidP="005418A0">
            <w:pPr>
              <w:spacing w:before="36" w:after="36"/>
            </w:pPr>
            <w:r w:rsidRPr="005418A0">
              <w:t xml:space="preserve">AASB S2 </w:t>
            </w:r>
            <w:r w:rsidRPr="005418A0">
              <w:rPr>
                <w:i/>
                <w:iCs/>
              </w:rPr>
              <w:t>Climate-related Disclosures</w:t>
            </w:r>
            <w:r w:rsidRPr="005418A0">
              <w:t xml:space="preserve"> (as amended, December 2025), Australian Accounting Standards Board</w:t>
            </w:r>
          </w:p>
        </w:tc>
        <w:tc>
          <w:tcPr>
            <w:tcW w:w="0" w:type="auto"/>
          </w:tcPr>
          <w:p w14:paraId="5603E575" w14:textId="77777777" w:rsidR="005418A0" w:rsidRPr="005418A0" w:rsidRDefault="005418A0" w:rsidP="005418A0">
            <w:pPr>
              <w:spacing w:before="36" w:after="36"/>
            </w:pPr>
            <w:r w:rsidRPr="005418A0">
              <w:t>https://standards.aasb.gov.au/aasb-s2-dec-2025</w:t>
            </w:r>
          </w:p>
        </w:tc>
      </w:tr>
      <w:tr w:rsidR="005418A0" w:rsidRPr="005418A0" w14:paraId="5C2A3E1E" w14:textId="77777777" w:rsidTr="00FA00F8">
        <w:tc>
          <w:tcPr>
            <w:tcW w:w="0" w:type="auto"/>
          </w:tcPr>
          <w:p w14:paraId="3ABB750E" w14:textId="77777777" w:rsidR="005418A0" w:rsidRPr="005418A0" w:rsidRDefault="005418A0" w:rsidP="005418A0">
            <w:pPr>
              <w:spacing w:before="36" w:after="36"/>
            </w:pPr>
            <w:r w:rsidRPr="005418A0">
              <w:t>ASIC.pdf</w:t>
            </w:r>
          </w:p>
        </w:tc>
        <w:tc>
          <w:tcPr>
            <w:tcW w:w="0" w:type="auto"/>
          </w:tcPr>
          <w:p w14:paraId="44867F77" w14:textId="77777777" w:rsidR="005418A0" w:rsidRPr="005418A0" w:rsidRDefault="005418A0" w:rsidP="005418A0">
            <w:pPr>
              <w:spacing w:before="36" w:after="36"/>
            </w:pPr>
            <w:r w:rsidRPr="005418A0">
              <w:t xml:space="preserve">ASIC Regulatory Guide 280 </w:t>
            </w:r>
            <w:r w:rsidRPr="005418A0">
              <w:rPr>
                <w:i/>
                <w:iCs/>
              </w:rPr>
              <w:t>Sustainabili</w:t>
            </w:r>
            <w:r w:rsidRPr="005418A0">
              <w:rPr>
                <w:i/>
                <w:iCs/>
              </w:rPr>
              <w:lastRenderedPageBreak/>
              <w:t>ty reporting</w:t>
            </w:r>
            <w:r w:rsidRPr="005418A0">
              <w:t xml:space="preserve"> (31 March 2025)</w:t>
            </w:r>
          </w:p>
        </w:tc>
        <w:tc>
          <w:tcPr>
            <w:tcW w:w="0" w:type="auto"/>
          </w:tcPr>
          <w:p w14:paraId="76D4C8DA" w14:textId="77777777" w:rsidR="005418A0" w:rsidRPr="005418A0" w:rsidRDefault="005418A0" w:rsidP="005418A0">
            <w:pPr>
              <w:spacing w:before="36" w:after="36"/>
            </w:pPr>
            <w:r w:rsidRPr="005418A0">
              <w:lastRenderedPageBreak/>
              <w:t>https://download.asic.gov.au/media/j4rhwyiz/rg280-published-31-march-2025.pdf</w:t>
            </w:r>
          </w:p>
        </w:tc>
      </w:tr>
      <w:tr w:rsidR="005418A0" w:rsidRPr="005418A0" w14:paraId="3F0DD261" w14:textId="77777777" w:rsidTr="00FA00F8">
        <w:tc>
          <w:tcPr>
            <w:tcW w:w="0" w:type="auto"/>
          </w:tcPr>
          <w:p w14:paraId="5B9DE687" w14:textId="77777777" w:rsidR="005418A0" w:rsidRPr="005418A0" w:rsidRDefault="005418A0" w:rsidP="005418A0">
            <w:pPr>
              <w:spacing w:before="36" w:after="36"/>
            </w:pPr>
            <w:r w:rsidRPr="005418A0">
              <w:t>Dexus.pdf</w:t>
            </w:r>
          </w:p>
        </w:tc>
        <w:tc>
          <w:tcPr>
            <w:tcW w:w="0" w:type="auto"/>
          </w:tcPr>
          <w:p w14:paraId="53A1BCE2" w14:textId="77777777" w:rsidR="005418A0" w:rsidRPr="005418A0" w:rsidRDefault="005418A0" w:rsidP="005418A0">
            <w:pPr>
              <w:spacing w:before="36" w:after="36"/>
            </w:pPr>
            <w:r w:rsidRPr="005418A0">
              <w:t>Dexus 2026 Annual Report, including its Sustainability Report (updated ASX release, 20 August 2026)</w:t>
            </w:r>
          </w:p>
        </w:tc>
        <w:tc>
          <w:tcPr>
            <w:tcW w:w="0" w:type="auto"/>
          </w:tcPr>
          <w:p w14:paraId="7ED7FCE5" w14:textId="77777777" w:rsidR="005418A0" w:rsidRPr="005418A0" w:rsidRDefault="005418A0" w:rsidP="005418A0">
            <w:pPr>
              <w:spacing w:before="36" w:after="36"/>
            </w:pPr>
            <w:r w:rsidRPr="005418A0">
              <w:t>https://announcements.asx.com.au/asxpdf/20260820/pdf/0730c3st7zgx2v.pdf</w:t>
            </w:r>
          </w:p>
        </w:tc>
      </w:tr>
    </w:tbl>
    <w:p w14:paraId="104CB061" w14:textId="77777777" w:rsidR="005418A0" w:rsidRPr="005418A0" w:rsidRDefault="005418A0" w:rsidP="005418A0">
      <w:pPr>
        <w:keepNext/>
        <w:keepLines/>
        <w:spacing w:before="200" w:after="0" w:line="240" w:lineRule="auto"/>
        <w:outlineLvl w:val="1"/>
        <w:rPr>
          <w:rFonts w:ascii="Calibri" w:eastAsia="Calibri" w:hAnsi="Calibri" w:cs="Calibri"/>
          <w:b/>
          <w:bCs/>
          <w:color w:val="1F3A5F"/>
          <w:kern w:val="0"/>
          <w:sz w:val="28"/>
          <w:szCs w:val="28"/>
          <w:lang w:val="en-US"/>
          <w14:ligatures w14:val="none"/>
        </w:rPr>
      </w:pPr>
      <w:bookmarkStart w:id="2" w:name="summary-of-results"/>
      <w:bookmarkEnd w:id="1"/>
      <w:r w:rsidRPr="005418A0">
        <w:rPr>
          <w:rFonts w:ascii="Calibri" w:eastAsia="Calibri" w:hAnsi="Calibri" w:cs="Calibri"/>
          <w:b/>
          <w:bCs/>
          <w:color w:val="1F3A5F"/>
          <w:kern w:val="0"/>
          <w:sz w:val="28"/>
          <w:szCs w:val="28"/>
          <w:lang w:val="en-US"/>
          <w14:ligatures w14:val="none"/>
        </w:rPr>
        <w:t>Summary of results</w:t>
      </w:r>
    </w:p>
    <w:tbl>
      <w:tblPr>
        <w:tblStyle w:val="Table"/>
        <w:tblW w:w="0" w:type="auto"/>
        <w:tblLook w:val="0020" w:firstRow="1" w:lastRow="0" w:firstColumn="0" w:lastColumn="0" w:noHBand="0" w:noVBand="0"/>
      </w:tblPr>
      <w:tblGrid>
        <w:gridCol w:w="627"/>
        <w:gridCol w:w="2789"/>
        <w:gridCol w:w="5944"/>
      </w:tblGrid>
      <w:tr w:rsidR="005418A0" w:rsidRPr="005418A0" w14:paraId="78B5AC42" w14:textId="77777777" w:rsidTr="00FA00F8">
        <w:trPr>
          <w:cnfStyle w:val="100000000000" w:firstRow="1" w:lastRow="0" w:firstColumn="0" w:lastColumn="0" w:oddVBand="0" w:evenVBand="0" w:oddHBand="0" w:evenHBand="0" w:firstRowFirstColumn="0" w:firstRowLastColumn="0" w:lastRowFirstColumn="0" w:lastRowLastColumn="0"/>
          <w:tblHeader/>
        </w:trPr>
        <w:tc>
          <w:tcPr>
            <w:tcW w:w="0" w:type="auto"/>
          </w:tcPr>
          <w:p w14:paraId="6917243F" w14:textId="77777777" w:rsidR="005418A0" w:rsidRPr="005418A0" w:rsidRDefault="005418A0" w:rsidP="005418A0">
            <w:pPr>
              <w:spacing w:before="36" w:after="36"/>
            </w:pPr>
            <w:r w:rsidRPr="005418A0">
              <w:t>Test</w:t>
            </w:r>
          </w:p>
        </w:tc>
        <w:tc>
          <w:tcPr>
            <w:tcW w:w="0" w:type="auto"/>
          </w:tcPr>
          <w:p w14:paraId="37D668C4" w14:textId="77777777" w:rsidR="005418A0" w:rsidRPr="005418A0" w:rsidRDefault="005418A0" w:rsidP="005418A0">
            <w:pPr>
              <w:spacing w:before="36" w:after="36"/>
            </w:pPr>
            <w:r w:rsidRPr="005418A0">
              <w:t>Feature tested</w:t>
            </w:r>
          </w:p>
        </w:tc>
        <w:tc>
          <w:tcPr>
            <w:tcW w:w="0" w:type="auto"/>
          </w:tcPr>
          <w:p w14:paraId="377E05EA" w14:textId="77777777" w:rsidR="005418A0" w:rsidRPr="005418A0" w:rsidRDefault="005418A0" w:rsidP="005418A0">
            <w:pPr>
              <w:spacing w:before="36" w:after="36"/>
            </w:pPr>
            <w:r w:rsidRPr="005418A0">
              <w:t>Result</w:t>
            </w:r>
          </w:p>
        </w:tc>
      </w:tr>
      <w:tr w:rsidR="005418A0" w:rsidRPr="005418A0" w14:paraId="283ADCFB" w14:textId="77777777" w:rsidTr="00FA00F8">
        <w:tc>
          <w:tcPr>
            <w:tcW w:w="0" w:type="auto"/>
          </w:tcPr>
          <w:p w14:paraId="6C9E6067" w14:textId="77777777" w:rsidR="005418A0" w:rsidRPr="005418A0" w:rsidRDefault="005418A0" w:rsidP="005418A0">
            <w:pPr>
              <w:spacing w:before="36" w:after="36"/>
            </w:pPr>
            <w:r w:rsidRPr="005418A0">
              <w:t>1</w:t>
            </w:r>
          </w:p>
        </w:tc>
        <w:tc>
          <w:tcPr>
            <w:tcW w:w="0" w:type="auto"/>
          </w:tcPr>
          <w:p w14:paraId="12E535FF" w14:textId="77777777" w:rsidR="005418A0" w:rsidRPr="005418A0" w:rsidRDefault="005418A0" w:rsidP="005418A0">
            <w:pPr>
              <w:spacing w:before="36" w:after="36"/>
            </w:pPr>
            <w:r w:rsidRPr="005418A0">
              <w:t>Summarisation across sources</w:t>
            </w:r>
          </w:p>
        </w:tc>
        <w:tc>
          <w:tcPr>
            <w:tcW w:w="0" w:type="auto"/>
          </w:tcPr>
          <w:p w14:paraId="7E5544BC" w14:textId="77777777" w:rsidR="005418A0" w:rsidRPr="005418A0" w:rsidRDefault="005418A0" w:rsidP="005418A0">
            <w:pPr>
              <w:spacing w:before="36" w:after="36"/>
            </w:pPr>
            <w:r w:rsidRPr="005418A0">
              <w:t>Strong: correct purpose and relationship for all three sources</w:t>
            </w:r>
          </w:p>
        </w:tc>
      </w:tr>
      <w:tr w:rsidR="005418A0" w:rsidRPr="005418A0" w14:paraId="41318CDB" w14:textId="77777777" w:rsidTr="00FA00F8">
        <w:tc>
          <w:tcPr>
            <w:tcW w:w="0" w:type="auto"/>
          </w:tcPr>
          <w:p w14:paraId="753C463F" w14:textId="77777777" w:rsidR="005418A0" w:rsidRPr="005418A0" w:rsidRDefault="005418A0" w:rsidP="005418A0">
            <w:pPr>
              <w:spacing w:before="36" w:after="36"/>
            </w:pPr>
            <w:r w:rsidRPr="005418A0">
              <w:t>2</w:t>
            </w:r>
          </w:p>
        </w:tc>
        <w:tc>
          <w:tcPr>
            <w:tcW w:w="0" w:type="auto"/>
          </w:tcPr>
          <w:p w14:paraId="245FE084" w14:textId="77777777" w:rsidR="005418A0" w:rsidRPr="005418A0" w:rsidRDefault="005418A0" w:rsidP="005418A0">
            <w:pPr>
              <w:spacing w:before="36" w:after="36"/>
            </w:pPr>
            <w:r w:rsidRPr="005418A0">
              <w:t>Inline citations and claim checking</w:t>
            </w:r>
          </w:p>
        </w:tc>
        <w:tc>
          <w:tcPr>
            <w:tcW w:w="0" w:type="auto"/>
          </w:tcPr>
          <w:p w14:paraId="0D34E493" w14:textId="77777777" w:rsidR="005418A0" w:rsidRPr="005418A0" w:rsidRDefault="005418A0" w:rsidP="005418A0">
            <w:pPr>
              <w:spacing w:before="36" w:after="36"/>
            </w:pPr>
            <w:r w:rsidRPr="005418A0">
              <w:t>Strong: exact quotes with page numbers allowed a doubtful claim to be verified</w:t>
            </w:r>
          </w:p>
        </w:tc>
      </w:tr>
      <w:tr w:rsidR="005418A0" w:rsidRPr="005418A0" w14:paraId="7BEFC47F" w14:textId="77777777" w:rsidTr="00FA00F8">
        <w:tc>
          <w:tcPr>
            <w:tcW w:w="0" w:type="auto"/>
          </w:tcPr>
          <w:p w14:paraId="24F582E7" w14:textId="77777777" w:rsidR="005418A0" w:rsidRPr="005418A0" w:rsidRDefault="005418A0" w:rsidP="005418A0">
            <w:pPr>
              <w:spacing w:before="36" w:after="36"/>
            </w:pPr>
            <w:r w:rsidRPr="005418A0">
              <w:t>3</w:t>
            </w:r>
          </w:p>
        </w:tc>
        <w:tc>
          <w:tcPr>
            <w:tcW w:w="0" w:type="auto"/>
          </w:tcPr>
          <w:p w14:paraId="79ABAD7C" w14:textId="77777777" w:rsidR="005418A0" w:rsidRPr="005418A0" w:rsidRDefault="005418A0" w:rsidP="005418A0">
            <w:pPr>
              <w:spacing w:before="36" w:after="36"/>
            </w:pPr>
            <w:r w:rsidRPr="005418A0">
              <w:t>Cross-document question answering</w:t>
            </w:r>
          </w:p>
        </w:tc>
        <w:tc>
          <w:tcPr>
            <w:tcW w:w="0" w:type="auto"/>
          </w:tcPr>
          <w:p w14:paraId="4A2B5885" w14:textId="77777777" w:rsidR="005418A0" w:rsidRPr="005418A0" w:rsidRDefault="005418A0" w:rsidP="005418A0">
            <w:pPr>
              <w:spacing w:before="36" w:after="36"/>
            </w:pPr>
            <w:r w:rsidRPr="005418A0">
              <w:t>Strong: accurate comparison table and genuine gap analysis; repeated one unusual figure without questioning it</w:t>
            </w:r>
          </w:p>
        </w:tc>
      </w:tr>
      <w:tr w:rsidR="005418A0" w:rsidRPr="005418A0" w14:paraId="1ED112C2" w14:textId="77777777" w:rsidTr="00FA00F8">
        <w:tc>
          <w:tcPr>
            <w:tcW w:w="0" w:type="auto"/>
          </w:tcPr>
          <w:p w14:paraId="385248B4" w14:textId="77777777" w:rsidR="005418A0" w:rsidRPr="005418A0" w:rsidRDefault="005418A0" w:rsidP="005418A0">
            <w:pPr>
              <w:spacing w:before="36" w:after="36"/>
            </w:pPr>
            <w:r w:rsidRPr="005418A0">
              <w:t>4</w:t>
            </w:r>
          </w:p>
        </w:tc>
        <w:tc>
          <w:tcPr>
            <w:tcW w:w="0" w:type="auto"/>
          </w:tcPr>
          <w:p w14:paraId="47BBF1F0" w14:textId="77777777" w:rsidR="005418A0" w:rsidRPr="005418A0" w:rsidRDefault="005418A0" w:rsidP="005418A0">
            <w:pPr>
              <w:spacing w:before="36" w:after="36"/>
            </w:pPr>
            <w:r w:rsidRPr="005418A0">
              <w:t>Hallucination resistance (false premise)</w:t>
            </w:r>
          </w:p>
        </w:tc>
        <w:tc>
          <w:tcPr>
            <w:tcW w:w="0" w:type="auto"/>
          </w:tcPr>
          <w:p w14:paraId="103D6825" w14:textId="77777777" w:rsidR="005418A0" w:rsidRPr="005418A0" w:rsidRDefault="005418A0" w:rsidP="005418A0">
            <w:pPr>
              <w:spacing w:before="36" w:after="36"/>
            </w:pPr>
            <w:r w:rsidRPr="005418A0">
              <w:t>Strong: rejected both false premises without inventing details</w:t>
            </w:r>
          </w:p>
        </w:tc>
      </w:tr>
      <w:tr w:rsidR="005418A0" w:rsidRPr="005418A0" w14:paraId="54E86DDB" w14:textId="77777777" w:rsidTr="00FA00F8">
        <w:tc>
          <w:tcPr>
            <w:tcW w:w="0" w:type="auto"/>
          </w:tcPr>
          <w:p w14:paraId="55C9629C" w14:textId="77777777" w:rsidR="005418A0" w:rsidRPr="005418A0" w:rsidRDefault="005418A0" w:rsidP="005418A0">
            <w:pPr>
              <w:spacing w:before="36" w:after="36"/>
            </w:pPr>
            <w:r w:rsidRPr="005418A0">
              <w:t>5</w:t>
            </w:r>
          </w:p>
        </w:tc>
        <w:tc>
          <w:tcPr>
            <w:tcW w:w="0" w:type="auto"/>
          </w:tcPr>
          <w:p w14:paraId="29D8D51D" w14:textId="77777777" w:rsidR="005418A0" w:rsidRPr="005418A0" w:rsidRDefault="005418A0" w:rsidP="005418A0">
            <w:pPr>
              <w:spacing w:before="36" w:after="36"/>
            </w:pPr>
            <w:r w:rsidRPr="005418A0">
              <w:t>Study material generation (briefing)</w:t>
            </w:r>
          </w:p>
        </w:tc>
        <w:tc>
          <w:tcPr>
            <w:tcW w:w="0" w:type="auto"/>
          </w:tcPr>
          <w:p w14:paraId="7E747639" w14:textId="77777777" w:rsidR="005418A0" w:rsidRPr="005418A0" w:rsidRDefault="005418A0" w:rsidP="005418A0">
            <w:pPr>
              <w:spacing w:before="36" w:after="36"/>
            </w:pPr>
            <w:r w:rsidRPr="005418A0">
              <w:t>Weak: Dexus left out entirely, no citations, formatting errors</w:t>
            </w:r>
          </w:p>
        </w:tc>
      </w:tr>
    </w:tbl>
    <w:p w14:paraId="73CB3BDA"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kern w:val="0"/>
          <w:lang w:val="en-US"/>
          <w14:ligatures w14:val="none"/>
        </w:rPr>
        <w:t xml:space="preserve">Superscript numbers such as </w:t>
      </w:r>
      <w:r w:rsidRPr="005418A0">
        <w:rPr>
          <w:rFonts w:ascii="Calibri" w:eastAsia="Calibri" w:hAnsi="Calibri" w:cs="Calibri"/>
          <w:kern w:val="0"/>
          <w:vertAlign w:val="superscript"/>
          <w:lang w:val="en-US"/>
          <w14:ligatures w14:val="none"/>
        </w:rPr>
        <w:t>[1]</w:t>
      </w:r>
      <w:r w:rsidRPr="005418A0">
        <w:rPr>
          <w:rFonts w:ascii="Calibri" w:eastAsia="Calibri" w:hAnsi="Calibri" w:cs="Calibri"/>
          <w:kern w:val="0"/>
          <w:lang w:val="en-US"/>
          <w14:ligatures w14:val="none"/>
        </w:rPr>
        <w:t xml:space="preserve"> in the outputs are NotebookLM’s own citation markers, copied with the text.</w:t>
      </w:r>
    </w:p>
    <w:p w14:paraId="56C41D78"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3" w:name="test-1-summarisation-across-sources"/>
      <w:bookmarkEnd w:id="0"/>
      <w:bookmarkEnd w:id="2"/>
      <w:r w:rsidRPr="005418A0">
        <w:rPr>
          <w:rFonts w:ascii="Calibri" w:eastAsia="Calibri" w:hAnsi="Calibri" w:cs="Calibri"/>
          <w:b/>
          <w:bCs/>
          <w:color w:val="1F3A5F"/>
          <w:kern w:val="0"/>
          <w:sz w:val="32"/>
          <w:szCs w:val="32"/>
          <w:lang w:val="en-US"/>
          <w14:ligatures w14:val="none"/>
        </w:rPr>
        <w:t>Test 1 – Summarisation across sources</w:t>
      </w:r>
    </w:p>
    <w:p w14:paraId="3CAB676D"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Feature tested:</w:t>
      </w:r>
      <w:r w:rsidRPr="005418A0">
        <w:rPr>
          <w:rFonts w:ascii="Calibri" w:eastAsia="Calibri" w:hAnsi="Calibri" w:cs="Calibri"/>
          <w:kern w:val="0"/>
          <w:lang w:val="en-US"/>
          <w14:ligatures w14:val="none"/>
        </w:rPr>
        <w:t xml:space="preserve"> Summarising several sources and explaining how they connect.</w:t>
      </w:r>
    </w:p>
    <w:p w14:paraId="16AB8A7B"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Prompt:</w:t>
      </w:r>
    </w:p>
    <w:p w14:paraId="4DEC47E8" w14:textId="77777777" w:rsidR="005418A0" w:rsidRPr="005418A0" w:rsidRDefault="005418A0" w:rsidP="005418A0">
      <w:pPr>
        <w:spacing w:before="100" w:after="100" w:line="240" w:lineRule="auto"/>
        <w:ind w:left="480" w:right="480"/>
        <w:rPr>
          <w:rFonts w:ascii="Calibri" w:eastAsia="Calibri" w:hAnsi="Calibri" w:cs="Calibri"/>
          <w:kern w:val="0"/>
          <w:lang w:val="en-US"/>
          <w14:ligatures w14:val="none"/>
        </w:rPr>
      </w:pPr>
      <w:r w:rsidRPr="005418A0">
        <w:rPr>
          <w:rFonts w:ascii="Calibri" w:eastAsia="Calibri" w:hAnsi="Calibri" w:cs="Calibri"/>
          <w:kern w:val="0"/>
          <w:lang w:val="en-US"/>
          <w14:ligatures w14:val="none"/>
        </w:rPr>
        <w:lastRenderedPageBreak/>
        <w:t>Summarise the main purpose of each of the three sources in two or three sentences each, and explain how they relate to each other.</w:t>
      </w:r>
    </w:p>
    <w:p w14:paraId="7C8F6419"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NotebookLM output:</w:t>
      </w:r>
    </w:p>
    <w:p w14:paraId="2400049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1. AASB S2 Climate-related Disclosures ( AASBS2.pdf )</w:t>
      </w:r>
    </w:p>
    <w:p w14:paraId="2FBD429E"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AASB S2 Climate-related Disclosures</w:t>
      </w:r>
      <w:r w:rsidRPr="005418A0">
        <w:rPr>
          <w:rFonts w:ascii="Calibri" w:eastAsia="Calibri" w:hAnsi="Calibri" w:cs="Calibri"/>
          <w:kern w:val="0"/>
          <w:sz w:val="20"/>
          <w:lang w:val="en-US"/>
          <w14:ligatures w14:val="none"/>
        </w:rPr>
        <w:t xml:space="preserve"> is an Australian sustainability reporting standard issued by the Australian Accounting Standards Board under the </w:t>
      </w:r>
      <w:r w:rsidRPr="005418A0">
        <w:rPr>
          <w:rFonts w:ascii="Calibri" w:eastAsia="Calibri" w:hAnsi="Calibri" w:cs="Calibri"/>
          <w:i/>
          <w:iCs/>
          <w:kern w:val="0"/>
          <w:sz w:val="20"/>
          <w:lang w:val="en-US"/>
          <w14:ligatures w14:val="none"/>
        </w:rPr>
        <w:t>Corporations Act 2001</w:t>
      </w:r>
      <w:r w:rsidRPr="005418A0">
        <w:rPr>
          <w:rFonts w:ascii="Calibri" w:eastAsia="Calibri" w:hAnsi="Calibri" w:cs="Calibri"/>
          <w:kern w:val="0"/>
          <w:sz w:val="20"/>
          <w:vertAlign w:val="superscript"/>
          <w:lang w:val="en-US"/>
          <w14:ligatures w14:val="none"/>
        </w:rPr>
        <w:t>[1]</w:t>
      </w:r>
      <w:r w:rsidRPr="005418A0">
        <w:rPr>
          <w:rFonts w:ascii="Calibri" w:eastAsia="Calibri" w:hAnsi="Calibri" w:cs="Calibri"/>
          <w:kern w:val="0"/>
          <w:sz w:val="20"/>
          <w:lang w:val="en-US"/>
          <w14:ligatures w14:val="none"/>
        </w:rPr>
        <w:t>. Its primary purpose is to establish mandatory rules requiring entities to disclose decision-useful information regarding climate-related risks and opportunities across four core pillars: governance, strategy, risk management, and metrics and targets</w:t>
      </w:r>
      <w:r w:rsidRPr="005418A0">
        <w:rPr>
          <w:rFonts w:ascii="Calibri" w:eastAsia="Calibri" w:hAnsi="Calibri" w:cs="Calibri"/>
          <w:kern w:val="0"/>
          <w:sz w:val="20"/>
          <w:vertAlign w:val="superscript"/>
          <w:lang w:val="en-US"/>
          <w14:ligatures w14:val="none"/>
        </w:rPr>
        <w:t>[2]</w:t>
      </w:r>
      <w:r w:rsidRPr="005418A0">
        <w:rPr>
          <w:rFonts w:ascii="Calibri" w:eastAsia="Calibri" w:hAnsi="Calibri" w:cs="Calibri"/>
          <w:kern w:val="0"/>
          <w:sz w:val="20"/>
          <w:lang w:val="en-US"/>
          <w14:ligatures w14:val="none"/>
        </w:rPr>
        <w:t>. By aligning closely with global IFRS standards, it ensures consistent, comparable, and transparent climate reporting across Australian general-purpose financial reports</w:t>
      </w:r>
      <w:r w:rsidRPr="005418A0">
        <w:rPr>
          <w:rFonts w:ascii="Calibri" w:eastAsia="Calibri" w:hAnsi="Calibri" w:cs="Calibri"/>
          <w:kern w:val="0"/>
          <w:sz w:val="20"/>
          <w:vertAlign w:val="superscript"/>
          <w:lang w:val="en-US"/>
          <w14:ligatures w14:val="none"/>
        </w:rPr>
        <w:t>[2]</w:t>
      </w:r>
      <w:r w:rsidRPr="005418A0">
        <w:rPr>
          <w:rFonts w:ascii="Calibri" w:eastAsia="Calibri" w:hAnsi="Calibri" w:cs="Calibri"/>
          <w:kern w:val="0"/>
          <w:sz w:val="20"/>
          <w:lang w:val="en-US"/>
          <w14:ligatures w14:val="none"/>
        </w:rPr>
        <w:t>.</w:t>
      </w:r>
    </w:p>
    <w:p w14:paraId="0AB1637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2. ASIC Regulatory Guide 280 ( ASIC.pdf )</w:t>
      </w:r>
    </w:p>
    <w:p w14:paraId="5242A62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ASIC Regulatory Guide 280 (RG 280)</w:t>
      </w:r>
      <w:r w:rsidRPr="005418A0">
        <w:rPr>
          <w:rFonts w:ascii="Calibri" w:eastAsia="Calibri" w:hAnsi="Calibri" w:cs="Calibri"/>
          <w:kern w:val="0"/>
          <w:sz w:val="20"/>
          <w:lang w:val="en-US"/>
          <w14:ligatures w14:val="none"/>
        </w:rPr>
        <w:t xml:space="preserve"> is a regulatory compliance document published by the Australian Securities and Investments Commission for entities reporting under Chapter 2M of the </w:t>
      </w:r>
      <w:r w:rsidRPr="005418A0">
        <w:rPr>
          <w:rFonts w:ascii="Calibri" w:eastAsia="Calibri" w:hAnsi="Calibri" w:cs="Calibri"/>
          <w:i/>
          <w:iCs/>
          <w:kern w:val="0"/>
          <w:sz w:val="20"/>
          <w:lang w:val="en-US"/>
          <w14:ligatures w14:val="none"/>
        </w:rPr>
        <w:t>Corporations Act</w:t>
      </w:r>
      <w:r w:rsidRPr="005418A0">
        <w:rPr>
          <w:rFonts w:ascii="Calibri" w:eastAsia="Calibri" w:hAnsi="Calibri" w:cs="Calibri"/>
          <w:kern w:val="0"/>
          <w:sz w:val="20"/>
          <w:vertAlign w:val="superscript"/>
          <w:lang w:val="en-US"/>
          <w14:ligatures w14:val="none"/>
        </w:rPr>
        <w:t>[8][9]</w:t>
      </w:r>
      <w:r w:rsidRPr="005418A0">
        <w:rPr>
          <w:rFonts w:ascii="Calibri" w:eastAsia="Calibri" w:hAnsi="Calibri" w:cs="Calibri"/>
          <w:kern w:val="0"/>
          <w:sz w:val="20"/>
          <w:lang w:val="en-US"/>
          <w14:ligatures w14:val="none"/>
        </w:rPr>
        <w:t>. Its main purpose is to explain how ASIC interprets climate reporting laws, exercises its statutory powers, and approaches supervision and enforcement as mandatory reporting phases in</w:t>
      </w:r>
      <w:r w:rsidRPr="005418A0">
        <w:rPr>
          <w:rFonts w:ascii="Calibri" w:eastAsia="Calibri" w:hAnsi="Calibri" w:cs="Calibri"/>
          <w:kern w:val="0"/>
          <w:sz w:val="20"/>
          <w:vertAlign w:val="superscript"/>
          <w:lang w:val="en-US"/>
          <w14:ligatures w14:val="none"/>
        </w:rPr>
        <w:t>[8]</w:t>
      </w:r>
      <w:r w:rsidRPr="005418A0">
        <w:rPr>
          <w:rFonts w:ascii="Calibri" w:eastAsia="Calibri" w:hAnsi="Calibri" w:cs="Calibri"/>
          <w:kern w:val="0"/>
          <w:sz w:val="20"/>
          <w:lang w:val="en-US"/>
          <w14:ligatures w14:val="none"/>
        </w:rPr>
        <w:t>. It provides practical direction on operational duties, including record-keeping, directors' responsibilities, climate scenario analysis, and modified liability settings to foster market integrity</w:t>
      </w:r>
      <w:r w:rsidRPr="005418A0">
        <w:rPr>
          <w:rFonts w:ascii="Calibri" w:eastAsia="Calibri" w:hAnsi="Calibri" w:cs="Calibri"/>
          <w:kern w:val="0"/>
          <w:sz w:val="20"/>
          <w:vertAlign w:val="superscript"/>
          <w:lang w:val="en-US"/>
          <w14:ligatures w14:val="none"/>
        </w:rPr>
        <w:t>[8]</w:t>
      </w:r>
      <w:r w:rsidRPr="005418A0">
        <w:rPr>
          <w:rFonts w:ascii="Calibri" w:eastAsia="Calibri" w:hAnsi="Calibri" w:cs="Calibri"/>
          <w:kern w:val="0"/>
          <w:sz w:val="20"/>
          <w:lang w:val="en-US"/>
          <w14:ligatures w14:val="none"/>
        </w:rPr>
        <w:t>.</w:t>
      </w:r>
    </w:p>
    <w:p w14:paraId="61EDD82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3. Dexus Annual and Sustainability Report ( Dexus.pdf )</w:t>
      </w:r>
    </w:p>
    <w:p w14:paraId="7C8B094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The </w:t>
      </w:r>
      <w:r w:rsidRPr="005418A0">
        <w:rPr>
          <w:rFonts w:ascii="Calibri" w:eastAsia="Calibri" w:hAnsi="Calibri" w:cs="Calibri"/>
          <w:b/>
          <w:bCs/>
          <w:kern w:val="0"/>
          <w:sz w:val="20"/>
          <w:lang w:val="en-US"/>
          <w14:ligatures w14:val="none"/>
        </w:rPr>
        <w:t>Dexus Annual and Sustainability Report</w:t>
      </w:r>
      <w:r w:rsidRPr="005418A0">
        <w:rPr>
          <w:rFonts w:ascii="Calibri" w:eastAsia="Calibri" w:hAnsi="Calibri" w:cs="Calibri"/>
          <w:kern w:val="0"/>
          <w:sz w:val="20"/>
          <w:lang w:val="en-US"/>
          <w14:ligatures w14:val="none"/>
        </w:rPr>
        <w:t xml:space="preserve"> is an integrated corporate report detailing the financial, operational, and ESG performance of Australasian real estate group Dexus for the FY26 financial year</w:t>
      </w:r>
      <w:r w:rsidRPr="005418A0">
        <w:rPr>
          <w:rFonts w:ascii="Calibri" w:eastAsia="Calibri" w:hAnsi="Calibri" w:cs="Calibri"/>
          <w:kern w:val="0"/>
          <w:sz w:val="20"/>
          <w:vertAlign w:val="superscript"/>
          <w:lang w:val="en-US"/>
          <w14:ligatures w14:val="none"/>
        </w:rPr>
        <w:t>[14]</w:t>
      </w:r>
      <w:r w:rsidRPr="005418A0">
        <w:rPr>
          <w:rFonts w:ascii="Calibri" w:eastAsia="Calibri" w:hAnsi="Calibri" w:cs="Calibri"/>
          <w:kern w:val="0"/>
          <w:sz w:val="20"/>
          <w:lang w:val="en-US"/>
          <w14:ligatures w14:val="none"/>
        </w:rPr>
        <w:t>. Its main purpose is to communicate to security holders and stakeholders how Dexus manages strategic risks, drives value creation, and executes its Climate Transition Action Plan</w:t>
      </w:r>
      <w:r w:rsidRPr="005418A0">
        <w:rPr>
          <w:rFonts w:ascii="Calibri" w:eastAsia="Calibri" w:hAnsi="Calibri" w:cs="Calibri"/>
          <w:kern w:val="0"/>
          <w:sz w:val="20"/>
          <w:vertAlign w:val="superscript"/>
          <w:lang w:val="en-US"/>
          <w14:ligatures w14:val="none"/>
        </w:rPr>
        <w:t>[14]</w:t>
      </w:r>
      <w:r w:rsidRPr="005418A0">
        <w:rPr>
          <w:rFonts w:ascii="Calibri" w:eastAsia="Calibri" w:hAnsi="Calibri" w:cs="Calibri"/>
          <w:kern w:val="0"/>
          <w:sz w:val="20"/>
          <w:lang w:val="en-US"/>
          <w14:ligatures w14:val="none"/>
        </w:rPr>
        <w:t>. Notably, it serves as a practical implementation showcase by voluntarily preparing its climate-related disclosures in compliance with the AASB S2 standard</w:t>
      </w:r>
      <w:r w:rsidRPr="005418A0">
        <w:rPr>
          <w:rFonts w:ascii="Calibri" w:eastAsia="Calibri" w:hAnsi="Calibri" w:cs="Calibri"/>
          <w:kern w:val="0"/>
          <w:sz w:val="20"/>
          <w:vertAlign w:val="superscript"/>
          <w:lang w:val="en-US"/>
          <w14:ligatures w14:val="none"/>
        </w:rPr>
        <w:t>[15]</w:t>
      </w:r>
      <w:r w:rsidRPr="005418A0">
        <w:rPr>
          <w:rFonts w:ascii="Calibri" w:eastAsia="Calibri" w:hAnsi="Calibri" w:cs="Calibri"/>
          <w:kern w:val="0"/>
          <w:sz w:val="20"/>
          <w:lang w:val="en-US"/>
          <w14:ligatures w14:val="none"/>
        </w:rPr>
        <w:t>.</w:t>
      </w:r>
    </w:p>
    <w:p w14:paraId="7CF05F0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How the Sources Relate to Each Other</w:t>
      </w:r>
    </w:p>
    <w:p w14:paraId="2C79A49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Together, these three sources form a complete </w:t>
      </w:r>
      <w:r w:rsidRPr="005418A0">
        <w:rPr>
          <w:rFonts w:ascii="Calibri" w:eastAsia="Calibri" w:hAnsi="Calibri" w:cs="Calibri"/>
          <w:b/>
          <w:bCs/>
          <w:kern w:val="0"/>
          <w:sz w:val="20"/>
          <w:lang w:val="en-US"/>
          <w14:ligatures w14:val="none"/>
        </w:rPr>
        <w:t>three-tiered framework</w:t>
      </w:r>
      <w:r w:rsidRPr="005418A0">
        <w:rPr>
          <w:rFonts w:ascii="Calibri" w:eastAsia="Calibri" w:hAnsi="Calibri" w:cs="Calibri"/>
          <w:kern w:val="0"/>
          <w:sz w:val="20"/>
          <w:lang w:val="en-US"/>
          <w14:ligatures w14:val="none"/>
        </w:rPr>
        <w:t xml:space="preserve"> illustrating the lifecycle of Australian climate reporting</w:t>
      </w:r>
      <w:r w:rsidRPr="005418A0">
        <w:rPr>
          <w:rFonts w:ascii="Calibri" w:eastAsia="Calibri" w:hAnsi="Calibri" w:cs="Calibri"/>
          <w:kern w:val="0"/>
          <w:sz w:val="20"/>
          <w:vertAlign w:val="superscript"/>
          <w:lang w:val="en-US"/>
          <w14:ligatures w14:val="none"/>
        </w:rPr>
        <w:t>[2]</w:t>
      </w:r>
      <w:r w:rsidRPr="005418A0">
        <w:rPr>
          <w:rFonts w:ascii="Calibri" w:eastAsia="Calibri" w:hAnsi="Calibri" w:cs="Calibri"/>
          <w:kern w:val="0"/>
          <w:sz w:val="20"/>
          <w:lang w:val="en-US"/>
          <w14:ligatures w14:val="none"/>
        </w:rPr>
        <w:t>:</w:t>
      </w:r>
    </w:p>
    <w:p w14:paraId="51AD39F5"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Standard Setting (The Rules):</w:t>
      </w:r>
      <w:r w:rsidRPr="005418A0">
        <w:rPr>
          <w:rFonts w:ascii="Calibri" w:eastAsia="Calibri" w:hAnsi="Calibri" w:cs="Calibri"/>
          <w:kern w:val="0"/>
          <w:sz w:val="20"/>
          <w:lang w:val="en-US"/>
          <w14:ligatures w14:val="none"/>
        </w:rPr>
        <w:t xml:space="preserve"> </w:t>
      </w:r>
      <w:r w:rsidRPr="005418A0">
        <w:rPr>
          <w:rFonts w:ascii="Calibri" w:eastAsia="Calibri" w:hAnsi="Calibri" w:cs="Calibri"/>
          <w:b/>
          <w:bCs/>
          <w:kern w:val="0"/>
          <w:sz w:val="20"/>
          <w:lang w:val="en-US"/>
          <w14:ligatures w14:val="none"/>
        </w:rPr>
        <w:t>AASB S2</w:t>
      </w:r>
      <w:r w:rsidRPr="005418A0">
        <w:rPr>
          <w:rFonts w:ascii="Calibri" w:eastAsia="Calibri" w:hAnsi="Calibri" w:cs="Calibri"/>
          <w:kern w:val="0"/>
          <w:sz w:val="20"/>
          <w:lang w:val="en-US"/>
          <w14:ligatures w14:val="none"/>
        </w:rPr>
        <w:t xml:space="preserve"> defines the technical accounting and disclosure benchmark that dictates </w:t>
      </w:r>
      <w:r w:rsidRPr="005418A0">
        <w:rPr>
          <w:rFonts w:ascii="Calibri" w:eastAsia="Calibri" w:hAnsi="Calibri" w:cs="Calibri"/>
          <w:i/>
          <w:iCs/>
          <w:kern w:val="0"/>
          <w:sz w:val="20"/>
          <w:lang w:val="en-US"/>
          <w14:ligatures w14:val="none"/>
        </w:rPr>
        <w:t>what</w:t>
      </w:r>
      <w:r w:rsidRPr="005418A0">
        <w:rPr>
          <w:rFonts w:ascii="Calibri" w:eastAsia="Calibri" w:hAnsi="Calibri" w:cs="Calibri"/>
          <w:kern w:val="0"/>
          <w:sz w:val="20"/>
          <w:lang w:val="en-US"/>
          <w14:ligatures w14:val="none"/>
        </w:rPr>
        <w:t xml:space="preserve"> information companies must disclose</w:t>
      </w:r>
      <w:r w:rsidRPr="005418A0">
        <w:rPr>
          <w:rFonts w:ascii="Calibri" w:eastAsia="Calibri" w:hAnsi="Calibri" w:cs="Calibri"/>
          <w:kern w:val="0"/>
          <w:sz w:val="20"/>
          <w:vertAlign w:val="superscript"/>
          <w:lang w:val="en-US"/>
          <w14:ligatures w14:val="none"/>
        </w:rPr>
        <w:t>[2][3]</w:t>
      </w:r>
      <w:r w:rsidRPr="005418A0">
        <w:rPr>
          <w:rFonts w:ascii="Calibri" w:eastAsia="Calibri" w:hAnsi="Calibri" w:cs="Calibri"/>
          <w:kern w:val="0"/>
          <w:sz w:val="20"/>
          <w:lang w:val="en-US"/>
          <w14:ligatures w14:val="none"/>
        </w:rPr>
        <w:t>.</w:t>
      </w:r>
    </w:p>
    <w:p w14:paraId="7D954FCE"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Regulatory Oversight (The Guidance):</w:t>
      </w:r>
      <w:r w:rsidRPr="005418A0">
        <w:rPr>
          <w:rFonts w:ascii="Calibri" w:eastAsia="Calibri" w:hAnsi="Calibri" w:cs="Calibri"/>
          <w:kern w:val="0"/>
          <w:sz w:val="20"/>
          <w:lang w:val="en-US"/>
          <w14:ligatures w14:val="none"/>
        </w:rPr>
        <w:t xml:space="preserve"> </w:t>
      </w:r>
      <w:r w:rsidRPr="005418A0">
        <w:rPr>
          <w:rFonts w:ascii="Calibri" w:eastAsia="Calibri" w:hAnsi="Calibri" w:cs="Calibri"/>
          <w:b/>
          <w:bCs/>
          <w:kern w:val="0"/>
          <w:sz w:val="20"/>
          <w:lang w:val="en-US"/>
          <w14:ligatures w14:val="none"/>
        </w:rPr>
        <w:t>ASIC RG 280</w:t>
      </w:r>
      <w:r w:rsidRPr="005418A0">
        <w:rPr>
          <w:rFonts w:ascii="Calibri" w:eastAsia="Calibri" w:hAnsi="Calibri" w:cs="Calibri"/>
          <w:kern w:val="0"/>
          <w:sz w:val="20"/>
          <w:lang w:val="en-US"/>
          <w14:ligatures w14:val="none"/>
        </w:rPr>
        <w:t xml:space="preserve"> acts as the regulatory enforcement bridge, outlining </w:t>
      </w:r>
      <w:r w:rsidRPr="005418A0">
        <w:rPr>
          <w:rFonts w:ascii="Calibri" w:eastAsia="Calibri" w:hAnsi="Calibri" w:cs="Calibri"/>
          <w:i/>
          <w:iCs/>
          <w:kern w:val="0"/>
          <w:sz w:val="20"/>
          <w:lang w:val="en-US"/>
          <w14:ligatures w14:val="none"/>
        </w:rPr>
        <w:t>how</w:t>
      </w:r>
      <w:r w:rsidRPr="005418A0">
        <w:rPr>
          <w:rFonts w:ascii="Calibri" w:eastAsia="Calibri" w:hAnsi="Calibri" w:cs="Calibri"/>
          <w:kern w:val="0"/>
          <w:sz w:val="20"/>
          <w:lang w:val="en-US"/>
          <w14:ligatures w14:val="none"/>
        </w:rPr>
        <w:t xml:space="preserve"> regulators enforce compliance under the </w:t>
      </w:r>
      <w:r w:rsidRPr="005418A0">
        <w:rPr>
          <w:rFonts w:ascii="Calibri" w:eastAsia="Calibri" w:hAnsi="Calibri" w:cs="Calibri"/>
          <w:i/>
          <w:iCs/>
          <w:kern w:val="0"/>
          <w:sz w:val="20"/>
          <w:lang w:val="en-US"/>
          <w14:ligatures w14:val="none"/>
        </w:rPr>
        <w:t>Corporations Act</w:t>
      </w:r>
      <w:r w:rsidRPr="005418A0">
        <w:rPr>
          <w:rFonts w:ascii="Calibri" w:eastAsia="Calibri" w:hAnsi="Calibri" w:cs="Calibri"/>
          <w:kern w:val="0"/>
          <w:sz w:val="20"/>
          <w:lang w:val="en-US"/>
          <w14:ligatures w14:val="none"/>
        </w:rPr>
        <w:t xml:space="preserve"> and guide companies through implementation</w:t>
      </w:r>
      <w:r w:rsidRPr="005418A0">
        <w:rPr>
          <w:rFonts w:ascii="Calibri" w:eastAsia="Calibri" w:hAnsi="Calibri" w:cs="Calibri"/>
          <w:kern w:val="0"/>
          <w:sz w:val="20"/>
          <w:vertAlign w:val="superscript"/>
          <w:lang w:val="en-US"/>
          <w14:ligatures w14:val="none"/>
        </w:rPr>
        <w:t>[8]</w:t>
      </w:r>
      <w:r w:rsidRPr="005418A0">
        <w:rPr>
          <w:rFonts w:ascii="Calibri" w:eastAsia="Calibri" w:hAnsi="Calibri" w:cs="Calibri"/>
          <w:kern w:val="0"/>
          <w:sz w:val="20"/>
          <w:lang w:val="en-US"/>
          <w14:ligatures w14:val="none"/>
        </w:rPr>
        <w:t>.</w:t>
      </w:r>
    </w:p>
    <w:p w14:paraId="64238FF0"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Corporate Execution (The Application):</w:t>
      </w:r>
      <w:r w:rsidRPr="005418A0">
        <w:rPr>
          <w:rFonts w:ascii="Calibri" w:eastAsia="Calibri" w:hAnsi="Calibri" w:cs="Calibri"/>
          <w:kern w:val="0"/>
          <w:sz w:val="20"/>
          <w:lang w:val="en-US"/>
          <w14:ligatures w14:val="none"/>
        </w:rPr>
        <w:t xml:space="preserve"> </w:t>
      </w:r>
      <w:r w:rsidRPr="005418A0">
        <w:rPr>
          <w:rFonts w:ascii="Calibri" w:eastAsia="Calibri" w:hAnsi="Calibri" w:cs="Calibri"/>
          <w:b/>
          <w:bCs/>
          <w:kern w:val="0"/>
          <w:sz w:val="20"/>
          <w:lang w:val="en-US"/>
          <w14:ligatures w14:val="none"/>
        </w:rPr>
        <w:t>Dexus</w:t>
      </w:r>
      <w:r w:rsidRPr="005418A0">
        <w:rPr>
          <w:rFonts w:ascii="Calibri" w:eastAsia="Calibri" w:hAnsi="Calibri" w:cs="Calibri"/>
          <w:kern w:val="0"/>
          <w:sz w:val="20"/>
          <w:lang w:val="en-US"/>
          <w14:ligatures w14:val="none"/>
        </w:rPr>
        <w:t xml:space="preserve"> represents the corporate reporting entity in the market, putting the AASB S2 standard and ASIC's regulatory guidelines into real-world practice through its voluntary AASB S2-aligned disclosures</w:t>
      </w:r>
      <w:r w:rsidRPr="005418A0">
        <w:rPr>
          <w:rFonts w:ascii="Calibri" w:eastAsia="Calibri" w:hAnsi="Calibri" w:cs="Calibri"/>
          <w:kern w:val="0"/>
          <w:sz w:val="20"/>
          <w:vertAlign w:val="superscript"/>
          <w:lang w:val="en-US"/>
          <w14:ligatures w14:val="none"/>
        </w:rPr>
        <w:t>[15]</w:t>
      </w:r>
      <w:r w:rsidRPr="005418A0">
        <w:rPr>
          <w:rFonts w:ascii="Calibri" w:eastAsia="Calibri" w:hAnsi="Calibri" w:cs="Calibri"/>
          <w:kern w:val="0"/>
          <w:sz w:val="20"/>
          <w:lang w:val="en-US"/>
          <w14:ligatures w14:val="none"/>
        </w:rPr>
        <w:t>.</w:t>
      </w:r>
    </w:p>
    <w:p w14:paraId="4355DF00"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Evaluation:</w:t>
      </w:r>
      <w:r w:rsidRPr="005418A0">
        <w:rPr>
          <w:rFonts w:ascii="Calibri" w:eastAsia="Calibri" w:hAnsi="Calibri" w:cs="Calibri"/>
          <w:kern w:val="0"/>
          <w:lang w:val="en-US"/>
          <w14:ligatures w14:val="none"/>
        </w:rPr>
        <w:t xml:space="preserve"> Accurate and well structured. The four pillars of AASB S2 and the topics covered by RG 280 (directors’ duties, scenario analysis, modified liability) are correct, and the “rules → guidance → application” explanation is useful for a student. The claim that Dexus prepared its disclosures “voluntarily” was flagged for checking in Test 2.</w:t>
      </w:r>
    </w:p>
    <w:p w14:paraId="5058E3A8"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4" w:name="X2a7d4af398dae4c614d2c4c65569039e9c651c3"/>
      <w:bookmarkEnd w:id="3"/>
      <w:r w:rsidRPr="005418A0">
        <w:rPr>
          <w:rFonts w:ascii="Calibri" w:eastAsia="Calibri" w:hAnsi="Calibri" w:cs="Calibri"/>
          <w:b/>
          <w:bCs/>
          <w:color w:val="1F3A5F"/>
          <w:kern w:val="0"/>
          <w:sz w:val="32"/>
          <w:szCs w:val="32"/>
          <w:lang w:val="en-US"/>
          <w14:ligatures w14:val="none"/>
        </w:rPr>
        <w:t>Test 2 – Inline citations and claim checking</w:t>
      </w:r>
    </w:p>
    <w:p w14:paraId="7D228A01"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Feature tested:</w:t>
      </w:r>
      <w:r w:rsidRPr="005418A0">
        <w:rPr>
          <w:rFonts w:ascii="Calibri" w:eastAsia="Calibri" w:hAnsi="Calibri" w:cs="Calibri"/>
          <w:kern w:val="0"/>
          <w:lang w:val="en-US"/>
          <w14:ligatures w14:val="none"/>
        </w:rPr>
        <w:t xml:space="preserve"> Using citations to verify a claim that looked doubtful.</w:t>
      </w:r>
    </w:p>
    <w:p w14:paraId="311550BC"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lastRenderedPageBreak/>
        <w:t>Why this test:</w:t>
      </w:r>
      <w:r w:rsidRPr="005418A0">
        <w:rPr>
          <w:rFonts w:ascii="Calibri" w:eastAsia="Calibri" w:hAnsi="Calibri" w:cs="Calibri"/>
          <w:kern w:val="0"/>
          <w:lang w:val="en-US"/>
          <w14:ligatures w14:val="none"/>
        </w:rPr>
        <w:t xml:space="preserve"> The tester assumed that a large listed company like Dexus would already be required to report under AASB S2, so the word “voluntarily” in Test 1 looked like a possible error. Citation [15] was opened first, then a direct question was asked.</w:t>
      </w:r>
    </w:p>
    <w:p w14:paraId="19C70641"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Prompt:</w:t>
      </w:r>
    </w:p>
    <w:p w14:paraId="0347A9CF" w14:textId="77777777" w:rsidR="005418A0" w:rsidRPr="005418A0" w:rsidRDefault="005418A0" w:rsidP="005418A0">
      <w:pPr>
        <w:spacing w:before="100" w:after="100" w:line="240" w:lineRule="auto"/>
        <w:ind w:left="480" w:right="480"/>
        <w:rPr>
          <w:rFonts w:ascii="Calibri" w:eastAsia="Calibri" w:hAnsi="Calibri" w:cs="Calibri"/>
          <w:kern w:val="0"/>
          <w:lang w:val="en-US"/>
          <w14:ligatures w14:val="none"/>
        </w:rPr>
      </w:pPr>
      <w:r w:rsidRPr="005418A0">
        <w:rPr>
          <w:rFonts w:ascii="Calibri" w:eastAsia="Calibri" w:hAnsi="Calibri" w:cs="Calibri"/>
          <w:kern w:val="0"/>
          <w:lang w:val="en-US"/>
          <w14:ligatures w14:val="none"/>
        </w:rPr>
        <w:t>Does the Dexus report say its AASB S2 climate disclosures are voluntary or mandatory? Quote the exact sentence from the report.</w:t>
      </w:r>
    </w:p>
    <w:p w14:paraId="6F4A1488"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NotebookLM output:</w:t>
      </w:r>
    </w:p>
    <w:p w14:paraId="0802974E"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The Dexus report states that its current AASB S2 climate-related disclosures are </w:t>
      </w:r>
      <w:r w:rsidRPr="005418A0">
        <w:rPr>
          <w:rFonts w:ascii="Calibri" w:eastAsia="Calibri" w:hAnsi="Calibri" w:cs="Calibri"/>
          <w:b/>
          <w:bCs/>
          <w:kern w:val="0"/>
          <w:sz w:val="20"/>
          <w:lang w:val="en-US"/>
          <w14:ligatures w14:val="none"/>
        </w:rPr>
        <w:t>voluntary</w:t>
      </w:r>
      <w:r w:rsidRPr="005418A0">
        <w:rPr>
          <w:rFonts w:ascii="Calibri" w:eastAsia="Calibri" w:hAnsi="Calibri" w:cs="Calibri"/>
          <w:kern w:val="0"/>
          <w:sz w:val="20"/>
          <w:lang w:val="en-US"/>
          <w14:ligatures w14:val="none"/>
        </w:rPr>
        <w:t>, while noting that mandatory reporting will apply starting from the financial year ending 30 June 2027</w:t>
      </w:r>
      <w:r w:rsidRPr="005418A0">
        <w:rPr>
          <w:rFonts w:ascii="Calibri" w:eastAsia="Calibri" w:hAnsi="Calibri" w:cs="Calibri"/>
          <w:kern w:val="0"/>
          <w:sz w:val="20"/>
          <w:vertAlign w:val="superscript"/>
          <w:lang w:val="en-US"/>
          <w14:ligatures w14:val="none"/>
        </w:rPr>
        <w:t>[1][2]</w:t>
      </w:r>
      <w:r w:rsidRPr="005418A0">
        <w:rPr>
          <w:rFonts w:ascii="Calibri" w:eastAsia="Calibri" w:hAnsi="Calibri" w:cs="Calibri"/>
          <w:kern w:val="0"/>
          <w:sz w:val="20"/>
          <w:lang w:val="en-US"/>
          <w14:ligatures w14:val="none"/>
        </w:rPr>
        <w:t>.</w:t>
      </w:r>
    </w:p>
    <w:p w14:paraId="667332F9"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The exact sentence from the main Sustainability Report section (page 80) reads:</w:t>
      </w:r>
    </w:p>
    <w:p w14:paraId="6C7757AA" w14:textId="77777777" w:rsidR="005418A0" w:rsidRPr="005418A0" w:rsidRDefault="005418A0" w:rsidP="005418A0">
      <w:pPr>
        <w:spacing w:before="100" w:after="100" w:line="240" w:lineRule="auto"/>
        <w:ind w:left="480" w:right="480"/>
        <w:rPr>
          <w:rFonts w:ascii="Calibri" w:eastAsia="Calibri" w:hAnsi="Calibri" w:cs="Calibri"/>
          <w:kern w:val="0"/>
          <w:lang w:val="en-US"/>
          <w14:ligatures w14:val="none"/>
        </w:rPr>
      </w:pPr>
      <w:r w:rsidRPr="005418A0">
        <w:rPr>
          <w:rFonts w:ascii="Calibri" w:eastAsia="Calibri" w:hAnsi="Calibri" w:cs="Calibri"/>
          <w:kern w:val="0"/>
          <w:lang w:val="en-US"/>
          <w14:ligatures w14:val="none"/>
        </w:rPr>
        <w:t>"This Sustainability Report has been voluntarily prepared in compliance with the Australian Sustainability Reporting Standard AASB S2 Climate-related Disclosures (AASB S2), as issued by the Australian Accounting Standards Board (AASB)."</w:t>
      </w:r>
      <w:r w:rsidRPr="005418A0">
        <w:rPr>
          <w:rFonts w:ascii="Calibri" w:eastAsia="Calibri" w:hAnsi="Calibri" w:cs="Calibri"/>
          <w:kern w:val="0"/>
          <w:vertAlign w:val="superscript"/>
          <w:lang w:val="en-US"/>
          <w14:ligatures w14:val="none"/>
        </w:rPr>
        <w:t>[1]</w:t>
      </w:r>
    </w:p>
    <w:p w14:paraId="396B1376"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Additionally, the "About this Report" overview (page 3) states:</w:t>
      </w:r>
    </w:p>
    <w:p w14:paraId="5BD675B3" w14:textId="77777777" w:rsidR="005418A0" w:rsidRPr="005418A0" w:rsidRDefault="005418A0" w:rsidP="005418A0">
      <w:pPr>
        <w:spacing w:before="100" w:after="100" w:line="240" w:lineRule="auto"/>
        <w:ind w:left="480" w:right="480"/>
        <w:rPr>
          <w:rFonts w:ascii="Calibri" w:eastAsia="Calibri" w:hAnsi="Calibri" w:cs="Calibri"/>
          <w:kern w:val="0"/>
          <w:lang w:val="en-US"/>
          <w14:ligatures w14:val="none"/>
        </w:rPr>
      </w:pPr>
      <w:r w:rsidRPr="005418A0">
        <w:rPr>
          <w:rFonts w:ascii="Calibri" w:eastAsia="Calibri" w:hAnsi="Calibri" w:cs="Calibri"/>
          <w:kern w:val="0"/>
          <w:lang w:val="en-US"/>
          <w14:ligatures w14:val="none"/>
        </w:rPr>
        <w:t>"We have voluntarily prepared a Sustainability Report in compliance with reporting requirements under AASB S2 Climate-related Disclosures."</w:t>
      </w:r>
      <w:r w:rsidRPr="005418A0">
        <w:rPr>
          <w:rFonts w:ascii="Calibri" w:eastAsia="Calibri" w:hAnsi="Calibri" w:cs="Calibri"/>
          <w:kern w:val="0"/>
          <w:vertAlign w:val="superscript"/>
          <w:lang w:val="en-US"/>
          <w14:ligatures w14:val="none"/>
        </w:rPr>
        <w:t>[3]</w:t>
      </w:r>
    </w:p>
    <w:p w14:paraId="4D6E3A1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Regarding future requirements, page 161 of the report confirms:</w:t>
      </w:r>
    </w:p>
    <w:p w14:paraId="18B6FA3E" w14:textId="77777777" w:rsidR="005418A0" w:rsidRPr="005418A0" w:rsidRDefault="005418A0" w:rsidP="005418A0">
      <w:pPr>
        <w:spacing w:before="100" w:after="100" w:line="240" w:lineRule="auto"/>
        <w:ind w:left="480" w:right="480"/>
        <w:rPr>
          <w:rFonts w:ascii="Calibri" w:eastAsia="Calibri" w:hAnsi="Calibri" w:cs="Calibri"/>
          <w:kern w:val="0"/>
          <w:lang w:val="en-US"/>
          <w14:ligatures w14:val="none"/>
        </w:rPr>
      </w:pPr>
      <w:r w:rsidRPr="005418A0">
        <w:rPr>
          <w:rFonts w:ascii="Calibri" w:eastAsia="Calibri" w:hAnsi="Calibri" w:cs="Calibri"/>
          <w:i/>
          <w:iCs/>
          <w:kern w:val="0"/>
          <w:lang w:val="en-US"/>
          <w14:ligatures w14:val="none"/>
        </w:rPr>
        <w:t>"The Group is subject to mandatory climate related financial disclosure requirements for the year ended 30 June 2027 under the Treasury Laws Amendment (Financial Market Infrastructure and Other Measures) Act 2024 and Australian Sustainability Reporting Standard AASB S2 Climate-related Disclosures."</w:t>
      </w:r>
    </w:p>
    <w:p w14:paraId="3EAAE25B"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Evaluation:</w:t>
      </w:r>
      <w:r w:rsidRPr="005418A0">
        <w:rPr>
          <w:rFonts w:ascii="Calibri" w:eastAsia="Calibri" w:hAnsi="Calibri" w:cs="Calibri"/>
          <w:kern w:val="0"/>
          <w:lang w:val="en-US"/>
          <w14:ligatures w14:val="none"/>
        </w:rPr>
        <w:t xml:space="preserve"> NotebookLM was right and the tester’s assumption was wrong. Its answer gave exact quotes with page numbers (pages 3, 80 and 161), so the claim could be checked in under a minute. It also added a useful detail that was not asked for: mandatory reporting starts for Dexus from the year ending 30 June 2027. This shows the value of cited, source-grounded answers over memory or assumption.</w:t>
      </w:r>
    </w:p>
    <w:p w14:paraId="3CBAA1FD"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5" w:name="test-3-cross-document-question-answering"/>
      <w:bookmarkEnd w:id="4"/>
      <w:r w:rsidRPr="005418A0">
        <w:rPr>
          <w:rFonts w:ascii="Calibri" w:eastAsia="Calibri" w:hAnsi="Calibri" w:cs="Calibri"/>
          <w:b/>
          <w:bCs/>
          <w:color w:val="1F3A5F"/>
          <w:kern w:val="0"/>
          <w:sz w:val="32"/>
          <w:szCs w:val="32"/>
          <w:lang w:val="en-US"/>
          <w14:ligatures w14:val="none"/>
        </w:rPr>
        <w:t>Test 3 – Cross-document question answering</w:t>
      </w:r>
    </w:p>
    <w:p w14:paraId="5EE53416"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Feature tested:</w:t>
      </w:r>
      <w:r w:rsidRPr="005418A0">
        <w:rPr>
          <w:rFonts w:ascii="Calibri" w:eastAsia="Calibri" w:hAnsi="Calibri" w:cs="Calibri"/>
          <w:kern w:val="0"/>
          <w:lang w:val="en-US"/>
          <w14:ligatures w14:val="none"/>
        </w:rPr>
        <w:t xml:space="preserve"> Combining information from all three sources into one answer.</w:t>
      </w:r>
    </w:p>
    <w:p w14:paraId="1A0C0D48"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Prompt:</w:t>
      </w:r>
    </w:p>
    <w:p w14:paraId="5B663C1A" w14:textId="77777777" w:rsidR="005418A0" w:rsidRPr="005418A0" w:rsidRDefault="005418A0" w:rsidP="005418A0">
      <w:pPr>
        <w:spacing w:before="100" w:after="100" w:line="240" w:lineRule="auto"/>
        <w:ind w:left="480" w:right="480"/>
        <w:rPr>
          <w:rFonts w:ascii="Calibri" w:eastAsia="Calibri" w:hAnsi="Calibri" w:cs="Calibri"/>
          <w:kern w:val="0"/>
          <w:lang w:val="en-US"/>
          <w14:ligatures w14:val="none"/>
        </w:rPr>
      </w:pPr>
      <w:r w:rsidRPr="005418A0">
        <w:rPr>
          <w:rFonts w:ascii="Calibri" w:eastAsia="Calibri" w:hAnsi="Calibri" w:cs="Calibri"/>
          <w:kern w:val="0"/>
          <w:lang w:val="en-US"/>
          <w14:ligatures w14:val="none"/>
        </w:rPr>
        <w:t>Using all three sources, compare what AASB S2 requires for climate scenario analysis and Scope 3 emissions, what ASIC RG 280 says about these two areas, and what Dexus actually disclosed. Present the comparison as a table, then explain any gaps between the requirements and Dexus’s disclosures.</w:t>
      </w:r>
    </w:p>
    <w:p w14:paraId="7C1C8D14"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NotebookLM output:</w:t>
      </w:r>
    </w:p>
    <w:p w14:paraId="6E5D3E16"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6" w:name="X0addb8203dca644fc992b29c1465bcbc2831bc0"/>
      <w:r w:rsidRPr="005418A0">
        <w:rPr>
          <w:rFonts w:ascii="Calibri" w:eastAsia="Calibri" w:hAnsi="Calibri" w:cs="Calibri"/>
          <w:iCs/>
          <w:color w:val="1F3A5F"/>
          <w:kern w:val="0"/>
          <w:lang w:val="en-US"/>
          <w14:ligatures w14:val="none"/>
        </w:rPr>
        <w:lastRenderedPageBreak/>
        <w:t>Comparison: Climate Scenario Analysis &amp; Scope 3 Emissions</w:t>
      </w:r>
    </w:p>
    <w:tbl>
      <w:tblPr>
        <w:tblStyle w:val="Table"/>
        <w:tblW w:w="5000" w:type="pct"/>
        <w:tblLook w:val="0020" w:firstRow="1" w:lastRow="0" w:firstColumn="0" w:lastColumn="0" w:noHBand="0" w:noVBand="0"/>
      </w:tblPr>
      <w:tblGrid>
        <w:gridCol w:w="1226"/>
        <w:gridCol w:w="2967"/>
        <w:gridCol w:w="2644"/>
        <w:gridCol w:w="2523"/>
      </w:tblGrid>
      <w:tr w:rsidR="005418A0" w:rsidRPr="005418A0" w14:paraId="11F3465D" w14:textId="77777777" w:rsidTr="00FA00F8">
        <w:trPr>
          <w:cnfStyle w:val="100000000000" w:firstRow="1" w:lastRow="0" w:firstColumn="0" w:lastColumn="0" w:oddVBand="0" w:evenVBand="0" w:oddHBand="0" w:evenHBand="0" w:firstRowFirstColumn="0" w:firstRowLastColumn="0" w:lastRowFirstColumn="0" w:lastRowLastColumn="0"/>
          <w:tblHeader/>
        </w:trPr>
        <w:tc>
          <w:tcPr>
            <w:tcW w:w="0" w:type="auto"/>
          </w:tcPr>
          <w:p w14:paraId="0A23BB92" w14:textId="77777777" w:rsidR="005418A0" w:rsidRPr="005418A0" w:rsidRDefault="005418A0" w:rsidP="005418A0">
            <w:pPr>
              <w:spacing w:before="36" w:after="36"/>
            </w:pPr>
            <w:r w:rsidRPr="005418A0">
              <w:t>Focus Area</w:t>
            </w:r>
          </w:p>
        </w:tc>
        <w:tc>
          <w:tcPr>
            <w:tcW w:w="0" w:type="auto"/>
          </w:tcPr>
          <w:p w14:paraId="17DF80F8" w14:textId="77777777" w:rsidR="005418A0" w:rsidRPr="005418A0" w:rsidRDefault="005418A0" w:rsidP="005418A0">
            <w:pPr>
              <w:spacing w:before="36" w:after="36"/>
            </w:pPr>
            <w:r w:rsidRPr="005418A0">
              <w:rPr>
                <w:b/>
                <w:bCs/>
              </w:rPr>
              <w:t>AASB S2 Standard Requirements</w:t>
            </w:r>
          </w:p>
        </w:tc>
        <w:tc>
          <w:tcPr>
            <w:tcW w:w="0" w:type="auto"/>
          </w:tcPr>
          <w:p w14:paraId="74637505" w14:textId="77777777" w:rsidR="005418A0" w:rsidRPr="005418A0" w:rsidRDefault="005418A0" w:rsidP="005418A0">
            <w:pPr>
              <w:spacing w:before="36" w:after="36"/>
            </w:pPr>
            <w:r w:rsidRPr="005418A0">
              <w:rPr>
                <w:b/>
                <w:bCs/>
              </w:rPr>
              <w:t>ASIC RG 280 Regulatory Guidance</w:t>
            </w:r>
          </w:p>
        </w:tc>
        <w:tc>
          <w:tcPr>
            <w:tcW w:w="0" w:type="auto"/>
          </w:tcPr>
          <w:p w14:paraId="268D333C" w14:textId="77777777" w:rsidR="005418A0" w:rsidRPr="005418A0" w:rsidRDefault="005418A0" w:rsidP="005418A0">
            <w:pPr>
              <w:spacing w:before="36" w:after="36"/>
            </w:pPr>
            <w:r w:rsidRPr="005418A0">
              <w:rPr>
                <w:b/>
                <w:bCs/>
              </w:rPr>
              <w:t>Dexus FY26 Disclosures</w:t>
            </w:r>
          </w:p>
        </w:tc>
      </w:tr>
      <w:tr w:rsidR="005418A0" w:rsidRPr="005418A0" w14:paraId="49879838" w14:textId="77777777" w:rsidTr="00FA00F8">
        <w:tc>
          <w:tcPr>
            <w:tcW w:w="0" w:type="auto"/>
          </w:tcPr>
          <w:p w14:paraId="3CDF0ECA" w14:textId="77777777" w:rsidR="005418A0" w:rsidRPr="005418A0" w:rsidRDefault="005418A0" w:rsidP="005418A0">
            <w:pPr>
              <w:spacing w:before="36" w:after="36"/>
            </w:pPr>
            <w:r w:rsidRPr="005418A0">
              <w:rPr>
                <w:b/>
                <w:bCs/>
              </w:rPr>
              <w:t>Climate Scenario Analysis</w:t>
            </w:r>
          </w:p>
        </w:tc>
        <w:tc>
          <w:tcPr>
            <w:tcW w:w="0" w:type="auto"/>
          </w:tcPr>
          <w:p w14:paraId="54472D47" w14:textId="77777777" w:rsidR="005418A0" w:rsidRPr="005418A0" w:rsidRDefault="005418A0" w:rsidP="005418A0">
            <w:pPr>
              <w:spacing w:before="36" w:after="36"/>
            </w:pPr>
            <w:r w:rsidRPr="005418A0">
              <w:t>Requires entities to use scenario analysis to assess climate resilience, using an approach commensurate with their circumstances[1]. Disclosures must detail scenarios used, time horizons, key policy/macroeconomic assumptions, inputs, and resilience implications[2][3].</w:t>
            </w:r>
          </w:p>
        </w:tc>
        <w:tc>
          <w:tcPr>
            <w:tcW w:w="0" w:type="auto"/>
          </w:tcPr>
          <w:p w14:paraId="49A0EB16" w14:textId="77777777" w:rsidR="005418A0" w:rsidRPr="005418A0" w:rsidRDefault="005418A0" w:rsidP="005418A0">
            <w:pPr>
              <w:spacing w:before="36" w:after="36"/>
            </w:pPr>
            <w:r w:rsidRPr="005418A0">
              <w:t xml:space="preserve">Confirms statutory mandate (Corporations Act s296D(2B)) requiring a minimum of </w:t>
            </w:r>
            <w:r w:rsidRPr="005418A0">
              <w:rPr>
                <w:b/>
                <w:bCs/>
              </w:rPr>
              <w:t>two scenarios</w:t>
            </w:r>
            <w:r w:rsidRPr="005418A0">
              <w:t xml:space="preserve"> referable to the </w:t>
            </w:r>
            <w:r w:rsidRPr="005418A0">
              <w:rPr>
                <w:i/>
                <w:iCs/>
              </w:rPr>
              <w:t>Climate Change Act 2022</w:t>
            </w:r>
            <w:r w:rsidRPr="005418A0">
              <w:t xml:space="preserve">: a </w:t>
            </w:r>
            <w:r w:rsidRPr="005418A0">
              <w:rPr>
                <w:b/>
                <w:bCs/>
              </w:rPr>
              <w:t>1.5°C lower global warming scenario</w:t>
            </w:r>
            <w:r w:rsidRPr="005418A0">
              <w:t xml:space="preserve"> and a </w:t>
            </w:r>
            <w:r w:rsidRPr="005418A0">
              <w:rPr>
                <w:b/>
                <w:bCs/>
              </w:rPr>
              <w:t>scenario well exceeding 2°C (2.5°C+)</w:t>
            </w:r>
            <w:r w:rsidRPr="005418A0">
              <w:t xml:space="preserve">[4][5]. Outlines </w:t>
            </w:r>
            <w:r w:rsidRPr="005418A0">
              <w:rPr>
                <w:b/>
                <w:bCs/>
              </w:rPr>
              <w:t>modified liability protections</w:t>
            </w:r>
            <w:r w:rsidRPr="005418A0">
              <w:t xml:space="preserve"> for scenario statements in FY25–FY27 reports[6].</w:t>
            </w:r>
          </w:p>
        </w:tc>
        <w:tc>
          <w:tcPr>
            <w:tcW w:w="0" w:type="auto"/>
          </w:tcPr>
          <w:p w14:paraId="3D679338" w14:textId="77777777" w:rsidR="005418A0" w:rsidRPr="005418A0" w:rsidRDefault="005418A0" w:rsidP="005418A0">
            <w:pPr>
              <w:spacing w:before="36" w:after="36"/>
            </w:pPr>
            <w:r w:rsidRPr="005418A0">
              <w:t xml:space="preserve">Disclosed </w:t>
            </w:r>
            <w:r w:rsidRPr="005418A0">
              <w:rPr>
                <w:b/>
                <w:bCs/>
              </w:rPr>
              <w:t>two climate scenarios</w:t>
            </w:r>
            <w:r w:rsidRPr="005418A0">
              <w:t xml:space="preserve">: an </w:t>
            </w:r>
            <w:r w:rsidRPr="005418A0">
              <w:rPr>
                <w:b/>
                <w:bCs/>
              </w:rPr>
              <w:t>Orderly Decarbonisation scenario (1.5°C)</w:t>
            </w:r>
            <w:r w:rsidRPr="005418A0">
              <w:t xml:space="preserve"> aligned with the Paris Agreement and a </w:t>
            </w:r>
            <w:r w:rsidRPr="005418A0">
              <w:rPr>
                <w:b/>
                <w:bCs/>
              </w:rPr>
              <w:t>high-emissions scenario (&gt;3°C warming by 2050)</w:t>
            </w:r>
            <w:r w:rsidRPr="005418A0">
              <w:t xml:space="preserve">[7]. Applied across </w:t>
            </w:r>
            <w:r w:rsidRPr="005418A0">
              <w:rPr>
                <w:b/>
                <w:bCs/>
              </w:rPr>
              <w:t>short (2030), medium (2040), and long (2050) time horizons</w:t>
            </w:r>
            <w:r w:rsidRPr="005418A0">
              <w:t xml:space="preserve"> across portfolio assets[10][11].</w:t>
            </w:r>
          </w:p>
        </w:tc>
      </w:tr>
      <w:tr w:rsidR="005418A0" w:rsidRPr="005418A0" w14:paraId="55152EB3" w14:textId="77777777" w:rsidTr="00FA00F8">
        <w:tc>
          <w:tcPr>
            <w:tcW w:w="0" w:type="auto"/>
          </w:tcPr>
          <w:p w14:paraId="71E7841E" w14:textId="77777777" w:rsidR="005418A0" w:rsidRPr="005418A0" w:rsidRDefault="005418A0" w:rsidP="005418A0">
            <w:pPr>
              <w:spacing w:before="36" w:after="36"/>
            </w:pPr>
            <w:r w:rsidRPr="005418A0">
              <w:rPr>
                <w:b/>
                <w:bCs/>
              </w:rPr>
              <w:t>Scope 3 GHG Emissions</w:t>
            </w:r>
          </w:p>
        </w:tc>
        <w:tc>
          <w:tcPr>
            <w:tcW w:w="0" w:type="auto"/>
          </w:tcPr>
          <w:p w14:paraId="59C462B1" w14:textId="77777777" w:rsidR="005418A0" w:rsidRPr="005418A0" w:rsidRDefault="005418A0" w:rsidP="005418A0">
            <w:pPr>
              <w:spacing w:before="36" w:after="36"/>
            </w:pPr>
            <w:r w:rsidRPr="005418A0">
              <w:t xml:space="preserve">Requires disclosure of absolute gross Scope 3 emissions across all </w:t>
            </w:r>
            <w:r w:rsidRPr="005418A0">
              <w:rPr>
                <w:b/>
                <w:bCs/>
              </w:rPr>
              <w:t>15 categories</w:t>
            </w:r>
            <w:r w:rsidRPr="005418A0">
              <w:t xml:space="preserve"> of the GHG Protocol Corporate Value Chain Standard[12]. Provides </w:t>
            </w:r>
            <w:r w:rsidRPr="005418A0">
              <w:rPr>
                <w:b/>
                <w:bCs/>
              </w:rPr>
              <w:t>1-year transition relief</w:t>
            </w:r>
            <w:r w:rsidRPr="005418A0">
              <w:t xml:space="preserve"> permitting entities to omit Scope 3 disclosures in their first reporting year[15].</w:t>
            </w:r>
          </w:p>
        </w:tc>
        <w:tc>
          <w:tcPr>
            <w:tcW w:w="0" w:type="auto"/>
          </w:tcPr>
          <w:p w14:paraId="5E0AFA70" w14:textId="77777777" w:rsidR="005418A0" w:rsidRPr="005418A0" w:rsidRDefault="005418A0" w:rsidP="005418A0">
            <w:pPr>
              <w:spacing w:before="36" w:after="36"/>
            </w:pPr>
            <w:r w:rsidRPr="005418A0">
              <w:t xml:space="preserve">Reaffirms the mandatory requirement to disclose gross Scope 3 emissions[16][17]. Highlights the </w:t>
            </w:r>
            <w:r w:rsidRPr="005418A0">
              <w:rPr>
                <w:b/>
                <w:bCs/>
              </w:rPr>
              <w:t>1-year AASB S2 transition relief</w:t>
            </w:r>
            <w:r w:rsidRPr="005418A0">
              <w:t xml:space="preserve">[18] and notes that Scope 3 disclosures (and underlying assumptions) are protected by </w:t>
            </w:r>
            <w:r w:rsidRPr="005418A0">
              <w:rPr>
                <w:b/>
                <w:bCs/>
              </w:rPr>
              <w:t>temporary modified liability settings</w:t>
            </w:r>
            <w:r w:rsidRPr="005418A0">
              <w:t xml:space="preserve"> for FY25–FY27[6][19].</w:t>
            </w:r>
          </w:p>
        </w:tc>
        <w:tc>
          <w:tcPr>
            <w:tcW w:w="0" w:type="auto"/>
          </w:tcPr>
          <w:p w14:paraId="6636883B" w14:textId="77777777" w:rsidR="005418A0" w:rsidRPr="005418A0" w:rsidRDefault="005418A0" w:rsidP="005418A0">
            <w:pPr>
              <w:spacing w:before="36" w:after="36"/>
            </w:pPr>
            <w:r w:rsidRPr="005418A0">
              <w:t xml:space="preserve">Applied the </w:t>
            </w:r>
            <w:r w:rsidRPr="005418A0">
              <w:rPr>
                <w:b/>
                <w:bCs/>
              </w:rPr>
              <w:t>AASB S2 transition relief</w:t>
            </w:r>
            <w:r w:rsidRPr="005418A0">
              <w:t xml:space="preserve"> to defer full Scope 3 reporting[20][21]. Voluntarily disclosed and modelled </w:t>
            </w:r>
            <w:r w:rsidRPr="005418A0">
              <w:rPr>
                <w:b/>
                <w:bCs/>
              </w:rPr>
              <w:t>limited Scope 3 categories</w:t>
            </w:r>
            <w:r w:rsidRPr="005418A0">
              <w:t xml:space="preserve"> (Categories 1, 5, 6, and 7: Purchased Goods &amp; Services, Waste, Business Travel, Employee Commuting) due to data availability[22].</w:t>
            </w:r>
          </w:p>
        </w:tc>
      </w:tr>
    </w:tbl>
    <w:p w14:paraId="28AD7F1E"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7" w:name="X954bcdd42dc453a69da9d63fdcf6783df7a6566"/>
      <w:bookmarkEnd w:id="6"/>
      <w:r w:rsidRPr="005418A0">
        <w:rPr>
          <w:rFonts w:ascii="Calibri" w:eastAsia="Calibri" w:hAnsi="Calibri" w:cs="Calibri"/>
          <w:iCs/>
          <w:color w:val="1F3A5F"/>
          <w:kern w:val="0"/>
          <w:lang w:val="en-US"/>
          <w14:ligatures w14:val="none"/>
        </w:rPr>
        <w:t>Explanation of Gaps Between Requirements/Guidance and Dexus's Disclosures</w:t>
      </w:r>
    </w:p>
    <w:p w14:paraId="22F25F9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While Dexus's FY26 report voluntarily complies with AASB S2 ahead of its mandatory reporting start date</w:t>
      </w:r>
      <w:r w:rsidRPr="005418A0">
        <w:rPr>
          <w:rFonts w:ascii="Calibri" w:eastAsia="Calibri" w:hAnsi="Calibri" w:cs="Calibri"/>
          <w:kern w:val="0"/>
          <w:sz w:val="20"/>
          <w:vertAlign w:val="superscript"/>
          <w:lang w:val="en-US"/>
          <w14:ligatures w14:val="none"/>
        </w:rPr>
        <w:t>[23][24]</w:t>
      </w:r>
      <w:r w:rsidRPr="005418A0">
        <w:rPr>
          <w:rFonts w:ascii="Calibri" w:eastAsia="Calibri" w:hAnsi="Calibri" w:cs="Calibri"/>
          <w:kern w:val="0"/>
          <w:sz w:val="20"/>
          <w:lang w:val="en-US"/>
          <w14:ligatures w14:val="none"/>
        </w:rPr>
        <w:t>, several specific gaps exist between the full AASB S2 / ASIC RG 280 framework and Dexus's actual disclosures:</w:t>
      </w:r>
    </w:p>
    <w:p w14:paraId="474903F5" w14:textId="77777777" w:rsidR="005418A0" w:rsidRPr="005418A0" w:rsidRDefault="005418A0" w:rsidP="005418A0">
      <w:pPr>
        <w:numPr>
          <w:ilvl w:val="0"/>
          <w:numId w:val="31"/>
        </w:numPr>
        <w:spacing w:before="36" w:after="36"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Partial Scope 3 Emissions Coverage (Categories Gap):</w:t>
      </w:r>
    </w:p>
    <w:p w14:paraId="5729B661"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Requirement/Guidance:</w:t>
      </w:r>
      <w:r w:rsidRPr="005418A0">
        <w:rPr>
          <w:rFonts w:ascii="Calibri" w:eastAsia="Calibri" w:hAnsi="Calibri" w:cs="Calibri"/>
          <w:kern w:val="0"/>
          <w:sz w:val="20"/>
          <w:lang w:val="en-US"/>
          <w14:ligatures w14:val="none"/>
        </w:rPr>
        <w:t xml:space="preserve"> AASB S2 and ASIC RG 280 mandate reporting across all applicable categories out of the 15 GHG Protocol Scope 3 categories</w:t>
      </w:r>
      <w:r w:rsidRPr="005418A0">
        <w:rPr>
          <w:rFonts w:ascii="Calibri" w:eastAsia="Calibri" w:hAnsi="Calibri" w:cs="Calibri"/>
          <w:kern w:val="0"/>
          <w:sz w:val="20"/>
          <w:vertAlign w:val="superscript"/>
          <w:lang w:val="en-US"/>
          <w14:ligatures w14:val="none"/>
        </w:rPr>
        <w:t>[13]</w:t>
      </w:r>
      <w:r w:rsidRPr="005418A0">
        <w:rPr>
          <w:rFonts w:ascii="Calibri" w:eastAsia="Calibri" w:hAnsi="Calibri" w:cs="Calibri"/>
          <w:kern w:val="0"/>
          <w:sz w:val="20"/>
          <w:lang w:val="en-US"/>
          <w14:ligatures w14:val="none"/>
        </w:rPr>
        <w:t>.</w:t>
      </w:r>
    </w:p>
    <w:p w14:paraId="7646820C"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Dexus Disclosure:</w:t>
      </w:r>
      <w:r w:rsidRPr="005418A0">
        <w:rPr>
          <w:rFonts w:ascii="Calibri" w:eastAsia="Calibri" w:hAnsi="Calibri" w:cs="Calibri"/>
          <w:kern w:val="0"/>
          <w:sz w:val="20"/>
          <w:lang w:val="en-US"/>
          <w14:ligatures w14:val="none"/>
        </w:rPr>
        <w:t xml:space="preserve"> Dexus elected to apply the </w:t>
      </w:r>
      <w:r w:rsidRPr="005418A0">
        <w:rPr>
          <w:rFonts w:ascii="Calibri" w:eastAsia="Calibri" w:hAnsi="Calibri" w:cs="Calibri"/>
          <w:b/>
          <w:bCs/>
          <w:kern w:val="0"/>
          <w:sz w:val="20"/>
          <w:lang w:val="en-US"/>
          <w14:ligatures w14:val="none"/>
        </w:rPr>
        <w:t>AASB S2 transition relief</w:t>
      </w:r>
      <w:r w:rsidRPr="005418A0">
        <w:rPr>
          <w:rFonts w:ascii="Calibri" w:eastAsia="Calibri" w:hAnsi="Calibri" w:cs="Calibri"/>
          <w:kern w:val="0"/>
          <w:sz w:val="20"/>
          <w:lang w:val="en-US"/>
          <w14:ligatures w14:val="none"/>
        </w:rPr>
        <w:t xml:space="preserve"> for Scope 3 emissions</w:t>
      </w:r>
      <w:r w:rsidRPr="005418A0">
        <w:rPr>
          <w:rFonts w:ascii="Calibri" w:eastAsia="Calibri" w:hAnsi="Calibri" w:cs="Calibri"/>
          <w:kern w:val="0"/>
          <w:sz w:val="20"/>
          <w:vertAlign w:val="superscript"/>
          <w:lang w:val="en-US"/>
          <w14:ligatures w14:val="none"/>
        </w:rPr>
        <w:t>[20][21]</w:t>
      </w:r>
      <w:r w:rsidRPr="005418A0">
        <w:rPr>
          <w:rFonts w:ascii="Calibri" w:eastAsia="Calibri" w:hAnsi="Calibri" w:cs="Calibri"/>
          <w:kern w:val="0"/>
          <w:sz w:val="20"/>
          <w:lang w:val="en-US"/>
          <w14:ligatures w14:val="none"/>
        </w:rPr>
        <w:t>. Consequently, it only included four Scope 3 categories (Categories 1, 5, 6, and 7) in its carbon cost financial modelling and reporting due to limitations in data availability</w:t>
      </w:r>
      <w:r w:rsidRPr="005418A0">
        <w:rPr>
          <w:rFonts w:ascii="Calibri" w:eastAsia="Calibri" w:hAnsi="Calibri" w:cs="Calibri"/>
          <w:kern w:val="0"/>
          <w:sz w:val="20"/>
          <w:vertAlign w:val="superscript"/>
          <w:lang w:val="en-US"/>
          <w14:ligatures w14:val="none"/>
        </w:rPr>
        <w:t>[22]</w:t>
      </w:r>
      <w:r w:rsidRPr="005418A0">
        <w:rPr>
          <w:rFonts w:ascii="Calibri" w:eastAsia="Calibri" w:hAnsi="Calibri" w:cs="Calibri"/>
          <w:kern w:val="0"/>
          <w:sz w:val="20"/>
          <w:lang w:val="en-US"/>
          <w14:ligatures w14:val="none"/>
        </w:rPr>
        <w:t>. Other material value chain categories (such as embodied carbon in capital goods/developments) are still being phased in</w:t>
      </w:r>
      <w:r w:rsidRPr="005418A0">
        <w:rPr>
          <w:rFonts w:ascii="Calibri" w:eastAsia="Calibri" w:hAnsi="Calibri" w:cs="Calibri"/>
          <w:kern w:val="0"/>
          <w:sz w:val="20"/>
          <w:vertAlign w:val="superscript"/>
          <w:lang w:val="en-US"/>
          <w14:ligatures w14:val="none"/>
        </w:rPr>
        <w:t>[22]</w:t>
      </w:r>
      <w:r w:rsidRPr="005418A0">
        <w:rPr>
          <w:rFonts w:ascii="Calibri" w:eastAsia="Calibri" w:hAnsi="Calibri" w:cs="Calibri"/>
          <w:kern w:val="0"/>
          <w:sz w:val="20"/>
          <w:lang w:val="en-US"/>
          <w14:ligatures w14:val="none"/>
        </w:rPr>
        <w:t>.</w:t>
      </w:r>
    </w:p>
    <w:p w14:paraId="09F80C43" w14:textId="77777777" w:rsidR="005418A0" w:rsidRPr="005418A0" w:rsidRDefault="005418A0" w:rsidP="005418A0">
      <w:pPr>
        <w:numPr>
          <w:ilvl w:val="0"/>
          <w:numId w:val="32"/>
        </w:numPr>
        <w:spacing w:before="36" w:after="36"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lastRenderedPageBreak/>
        <w:t>Exclusion of Infrastructure Assets from Financial Impact Modelling:</w:t>
      </w:r>
    </w:p>
    <w:p w14:paraId="0BFB0A3C"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Requirement/Guidance:</w:t>
      </w:r>
      <w:r w:rsidRPr="005418A0">
        <w:rPr>
          <w:rFonts w:ascii="Calibri" w:eastAsia="Calibri" w:hAnsi="Calibri" w:cs="Calibri"/>
          <w:kern w:val="0"/>
          <w:sz w:val="20"/>
          <w:lang w:val="en-US"/>
          <w14:ligatures w14:val="none"/>
        </w:rPr>
        <w:t xml:space="preserve"> AASB S2 requires entities to assess current and anticipated financial effects across the entity's full operational and reporting boundary</w:t>
      </w:r>
      <w:r w:rsidRPr="005418A0">
        <w:rPr>
          <w:rFonts w:ascii="Calibri" w:eastAsia="Calibri" w:hAnsi="Calibri" w:cs="Calibri"/>
          <w:kern w:val="0"/>
          <w:sz w:val="20"/>
          <w:vertAlign w:val="superscript"/>
          <w:lang w:val="en-US"/>
          <w14:ligatures w14:val="none"/>
        </w:rPr>
        <w:t>[27][28]</w:t>
      </w:r>
      <w:r w:rsidRPr="005418A0">
        <w:rPr>
          <w:rFonts w:ascii="Calibri" w:eastAsia="Calibri" w:hAnsi="Calibri" w:cs="Calibri"/>
          <w:kern w:val="0"/>
          <w:sz w:val="20"/>
          <w:lang w:val="en-US"/>
          <w14:ligatures w14:val="none"/>
        </w:rPr>
        <w:t>.</w:t>
      </w:r>
    </w:p>
    <w:p w14:paraId="38C45380"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Dexus Disclosure:</w:t>
      </w:r>
      <w:r w:rsidRPr="005418A0">
        <w:rPr>
          <w:rFonts w:ascii="Calibri" w:eastAsia="Calibri" w:hAnsi="Calibri" w:cs="Calibri"/>
          <w:kern w:val="0"/>
          <w:sz w:val="20"/>
          <w:lang w:val="en-US"/>
          <w14:ligatures w14:val="none"/>
        </w:rPr>
        <w:t xml:space="preserve"> Dexus's climate risk financial impact modelling covered its real estate portfolio as of 30 June 2026, but </w:t>
      </w:r>
      <w:r w:rsidRPr="005418A0">
        <w:rPr>
          <w:rFonts w:ascii="Calibri" w:eastAsia="Calibri" w:hAnsi="Calibri" w:cs="Calibri"/>
          <w:b/>
          <w:bCs/>
          <w:kern w:val="0"/>
          <w:sz w:val="20"/>
          <w:lang w:val="en-US"/>
          <w14:ligatures w14:val="none"/>
        </w:rPr>
        <w:t>excluded infrastructure assets</w:t>
      </w:r>
      <w:r w:rsidRPr="005418A0">
        <w:rPr>
          <w:rFonts w:ascii="Calibri" w:eastAsia="Calibri" w:hAnsi="Calibri" w:cs="Calibri"/>
          <w:kern w:val="0"/>
          <w:sz w:val="20"/>
          <w:lang w:val="en-US"/>
          <w14:ligatures w14:val="none"/>
        </w:rPr>
        <w:t xml:space="preserve"> due to data availability constraints</w:t>
      </w:r>
      <w:r w:rsidRPr="005418A0">
        <w:rPr>
          <w:rFonts w:ascii="Calibri" w:eastAsia="Calibri" w:hAnsi="Calibri" w:cs="Calibri"/>
          <w:kern w:val="0"/>
          <w:sz w:val="20"/>
          <w:vertAlign w:val="superscript"/>
          <w:lang w:val="en-US"/>
          <w14:ligatures w14:val="none"/>
        </w:rPr>
        <w:t>[29]</w:t>
      </w:r>
      <w:r w:rsidRPr="005418A0">
        <w:rPr>
          <w:rFonts w:ascii="Calibri" w:eastAsia="Calibri" w:hAnsi="Calibri" w:cs="Calibri"/>
          <w:kern w:val="0"/>
          <w:sz w:val="20"/>
          <w:lang w:val="en-US"/>
          <w14:ligatures w14:val="none"/>
        </w:rPr>
        <w:t>. Dexus noted that infrastructure assets are not expected to materially alter the reported financial outcomes</w:t>
      </w:r>
      <w:r w:rsidRPr="005418A0">
        <w:rPr>
          <w:rFonts w:ascii="Calibri" w:eastAsia="Calibri" w:hAnsi="Calibri" w:cs="Calibri"/>
          <w:kern w:val="0"/>
          <w:sz w:val="20"/>
          <w:vertAlign w:val="superscript"/>
          <w:lang w:val="en-US"/>
          <w14:ligatures w14:val="none"/>
        </w:rPr>
        <w:t>[29]</w:t>
      </w:r>
      <w:r w:rsidRPr="005418A0">
        <w:rPr>
          <w:rFonts w:ascii="Calibri" w:eastAsia="Calibri" w:hAnsi="Calibri" w:cs="Calibri"/>
          <w:kern w:val="0"/>
          <w:sz w:val="20"/>
          <w:lang w:val="en-US"/>
          <w14:ligatures w14:val="none"/>
        </w:rPr>
        <w:t>.</w:t>
      </w:r>
    </w:p>
    <w:p w14:paraId="5EC415B6" w14:textId="77777777" w:rsidR="005418A0" w:rsidRPr="005418A0" w:rsidRDefault="005418A0" w:rsidP="005418A0">
      <w:pPr>
        <w:numPr>
          <w:ilvl w:val="0"/>
          <w:numId w:val="33"/>
        </w:numPr>
        <w:spacing w:before="36" w:after="36"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Unquantified Transition Investment Financial Effects:</w:t>
      </w:r>
    </w:p>
    <w:p w14:paraId="2381DA82"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Requirement/Guidance:</w:t>
      </w:r>
      <w:r w:rsidRPr="005418A0">
        <w:rPr>
          <w:rFonts w:ascii="Calibri" w:eastAsia="Calibri" w:hAnsi="Calibri" w:cs="Calibri"/>
          <w:kern w:val="0"/>
          <w:sz w:val="20"/>
          <w:lang w:val="en-US"/>
          <w14:ligatures w14:val="none"/>
        </w:rPr>
        <w:t xml:space="preserve"> AASB S2 requires quantitative financial impact disclosures (single amount or range) unless the entity lacks the necessary skills, capabilities, or resources</w:t>
      </w:r>
      <w:r w:rsidRPr="005418A0">
        <w:rPr>
          <w:rFonts w:ascii="Calibri" w:eastAsia="Calibri" w:hAnsi="Calibri" w:cs="Calibri"/>
          <w:kern w:val="0"/>
          <w:sz w:val="20"/>
          <w:vertAlign w:val="superscript"/>
          <w:lang w:val="en-US"/>
          <w14:ligatures w14:val="none"/>
        </w:rPr>
        <w:t>[30][31]</w:t>
      </w:r>
      <w:r w:rsidRPr="005418A0">
        <w:rPr>
          <w:rFonts w:ascii="Calibri" w:eastAsia="Calibri" w:hAnsi="Calibri" w:cs="Calibri"/>
          <w:kern w:val="0"/>
          <w:sz w:val="20"/>
          <w:lang w:val="en-US"/>
          <w14:ligatures w14:val="none"/>
        </w:rPr>
        <w:t>.</w:t>
      </w:r>
    </w:p>
    <w:p w14:paraId="47A87C93"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Dexus Disclosure:</w:t>
      </w:r>
      <w:r w:rsidRPr="005418A0">
        <w:rPr>
          <w:rFonts w:ascii="Calibri" w:eastAsia="Calibri" w:hAnsi="Calibri" w:cs="Calibri"/>
          <w:kern w:val="0"/>
          <w:sz w:val="20"/>
          <w:lang w:val="en-US"/>
          <w14:ligatures w14:val="none"/>
        </w:rPr>
        <w:t xml:space="preserve"> Dexus did not quantify the anticipated financial returns for its $1.4 billion climate transition asset portfolio due to the commercial sensitivity of investment hurdle rates and the inherent uncertainty in isolating climate-specific financial returns</w:t>
      </w:r>
      <w:r w:rsidRPr="005418A0">
        <w:rPr>
          <w:rFonts w:ascii="Calibri" w:eastAsia="Calibri" w:hAnsi="Calibri" w:cs="Calibri"/>
          <w:kern w:val="0"/>
          <w:sz w:val="20"/>
          <w:vertAlign w:val="superscript"/>
          <w:lang w:val="en-US"/>
          <w14:ligatures w14:val="none"/>
        </w:rPr>
        <w:t>[32][33]</w:t>
      </w:r>
      <w:r w:rsidRPr="005418A0">
        <w:rPr>
          <w:rFonts w:ascii="Calibri" w:eastAsia="Calibri" w:hAnsi="Calibri" w:cs="Calibri"/>
          <w:kern w:val="0"/>
          <w:sz w:val="20"/>
          <w:lang w:val="en-US"/>
          <w14:ligatures w14:val="none"/>
        </w:rPr>
        <w:t>.</w:t>
      </w:r>
    </w:p>
    <w:p w14:paraId="25BFFAF5" w14:textId="77777777" w:rsidR="005418A0" w:rsidRPr="005418A0" w:rsidRDefault="005418A0" w:rsidP="005418A0">
      <w:pPr>
        <w:numPr>
          <w:ilvl w:val="0"/>
          <w:numId w:val="34"/>
        </w:numPr>
        <w:spacing w:before="36" w:after="36"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Permissible Nature of the Gaps (Transition Relief Application):</w:t>
      </w:r>
    </w:p>
    <w:p w14:paraId="510B3D87"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kern w:val="0"/>
          <w:lang w:val="en-US"/>
          <w14:ligatures w14:val="none"/>
        </w:rPr>
        <w:t>Both AASB S2 (Appendix C) and ASIC RG 280 explicitly recognize that early adopters and first-year reporters can rely on transition relief</w:t>
      </w:r>
      <w:r w:rsidRPr="005418A0">
        <w:rPr>
          <w:rFonts w:ascii="Calibri" w:eastAsia="Calibri" w:hAnsi="Calibri" w:cs="Calibri"/>
          <w:kern w:val="0"/>
          <w:vertAlign w:val="superscript"/>
          <w:lang w:val="en-US"/>
          <w14:ligatures w14:val="none"/>
        </w:rPr>
        <w:t>[18]</w:t>
      </w:r>
      <w:r w:rsidRPr="005418A0">
        <w:rPr>
          <w:rFonts w:ascii="Calibri" w:eastAsia="Calibri" w:hAnsi="Calibri" w:cs="Calibri"/>
          <w:kern w:val="0"/>
          <w:lang w:val="en-US"/>
          <w14:ligatures w14:val="none"/>
        </w:rPr>
        <w:t>. Because Dexus voluntarily prepared its FY26 report prior to the mandatory FY27 reporting period</w:t>
      </w:r>
      <w:r w:rsidRPr="005418A0">
        <w:rPr>
          <w:rFonts w:ascii="Calibri" w:eastAsia="Calibri" w:hAnsi="Calibri" w:cs="Calibri"/>
          <w:kern w:val="0"/>
          <w:vertAlign w:val="superscript"/>
          <w:lang w:val="en-US"/>
          <w14:ligatures w14:val="none"/>
        </w:rPr>
        <w:t>[23][24]</w:t>
      </w:r>
      <w:r w:rsidRPr="005418A0">
        <w:rPr>
          <w:rFonts w:ascii="Calibri" w:eastAsia="Calibri" w:hAnsi="Calibri" w:cs="Calibri"/>
          <w:kern w:val="0"/>
          <w:lang w:val="en-US"/>
          <w14:ligatures w14:val="none"/>
        </w:rPr>
        <w:t xml:space="preserve">, these gaps represent a </w:t>
      </w:r>
      <w:r w:rsidRPr="005418A0">
        <w:rPr>
          <w:rFonts w:ascii="Calibri" w:eastAsia="Calibri" w:hAnsi="Calibri" w:cs="Calibri"/>
          <w:b/>
          <w:bCs/>
          <w:kern w:val="0"/>
          <w:lang w:val="en-US"/>
          <w14:ligatures w14:val="none"/>
        </w:rPr>
        <w:t>permissible phased adoption</w:t>
      </w:r>
      <w:r w:rsidRPr="005418A0">
        <w:rPr>
          <w:rFonts w:ascii="Calibri" w:eastAsia="Calibri" w:hAnsi="Calibri" w:cs="Calibri"/>
          <w:kern w:val="0"/>
          <w:lang w:val="en-US"/>
          <w14:ligatures w14:val="none"/>
        </w:rPr>
        <w:t xml:space="preserve"> rather than regulatory non-compliance</w:t>
      </w:r>
    </w:p>
    <w:bookmarkEnd w:id="7"/>
    <w:p w14:paraId="37444A8C"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Check performed:</w:t>
      </w:r>
      <w:r w:rsidRPr="005418A0">
        <w:rPr>
          <w:rFonts w:ascii="Calibri" w:eastAsia="Calibri" w:hAnsi="Calibri" w:cs="Calibri"/>
          <w:kern w:val="0"/>
          <w:lang w:val="en-US"/>
          <w14:ligatures w14:val="none"/>
        </w:rPr>
        <w:t xml:space="preserve"> Citation [7] was opened to check the figure “&gt;3°C warming by 2050”, which seemed unusually high. The Dexus report does say 2050, so NotebookLM reported the source correctly.</w:t>
      </w:r>
    </w:p>
    <w:p w14:paraId="51ECA2EB"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Evaluation:</w:t>
      </w:r>
      <w:r w:rsidRPr="005418A0">
        <w:rPr>
          <w:rFonts w:ascii="Calibri" w:eastAsia="Calibri" w:hAnsi="Calibri" w:cs="Calibri"/>
          <w:kern w:val="0"/>
          <w:lang w:val="en-US"/>
          <w14:ligatures w14:val="none"/>
        </w:rPr>
        <w:t xml:space="preserve"> Strong synthesis that would take a student hours to do by hand. It put the rule, the regulator’s view and the company’s practice side by side, and found real gaps (partial Scope 3 coverage, infrastructure assets left out of modelling, unquantified returns) rather than repeating the company’s positive claims. However, it repeated the 3°C-by-2050 figure without questioning it. This figure sits at the extreme end of climate projections, but NotebookLM only knows what is in the uploaded documents, so judging whether a source claim is plausible still needs a person.</w:t>
      </w:r>
    </w:p>
    <w:p w14:paraId="7E32E4D6"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8" w:name="X2f4ad3b42abdea0e338d45d7c8bec6d912527b6"/>
      <w:bookmarkEnd w:id="5"/>
      <w:r w:rsidRPr="005418A0">
        <w:rPr>
          <w:rFonts w:ascii="Calibri" w:eastAsia="Calibri" w:hAnsi="Calibri" w:cs="Calibri"/>
          <w:b/>
          <w:bCs/>
          <w:color w:val="1F3A5F"/>
          <w:kern w:val="0"/>
          <w:sz w:val="32"/>
          <w:szCs w:val="32"/>
          <w:lang w:val="en-US"/>
          <w14:ligatures w14:val="none"/>
        </w:rPr>
        <w:t>Test 4 – Hallucination resistance (false-premise question)</w:t>
      </w:r>
    </w:p>
    <w:p w14:paraId="0181F349"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Feature tested:</w:t>
      </w:r>
      <w:r w:rsidRPr="005418A0">
        <w:rPr>
          <w:rFonts w:ascii="Calibri" w:eastAsia="Calibri" w:hAnsi="Calibri" w:cs="Calibri"/>
          <w:kern w:val="0"/>
          <w:lang w:val="en-US"/>
          <w14:ligatures w14:val="none"/>
        </w:rPr>
        <w:t xml:space="preserve"> Whether NotebookLM invents an answer when the question assumes something untrue.</w:t>
      </w:r>
    </w:p>
    <w:p w14:paraId="715EEFA3"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Prompt (both parts are deliberately false):</w:t>
      </w:r>
    </w:p>
    <w:p w14:paraId="621C424A" w14:textId="77777777" w:rsidR="005418A0" w:rsidRPr="005418A0" w:rsidRDefault="005418A0" w:rsidP="005418A0">
      <w:pPr>
        <w:spacing w:before="100" w:after="100" w:line="240" w:lineRule="auto"/>
        <w:ind w:left="480" w:right="480"/>
        <w:rPr>
          <w:rFonts w:ascii="Calibri" w:eastAsia="Calibri" w:hAnsi="Calibri" w:cs="Calibri"/>
          <w:kern w:val="0"/>
          <w:lang w:val="en-US"/>
          <w14:ligatures w14:val="none"/>
        </w:rPr>
      </w:pPr>
      <w:r w:rsidRPr="005418A0">
        <w:rPr>
          <w:rFonts w:ascii="Calibri" w:eastAsia="Calibri" w:hAnsi="Calibri" w:cs="Calibri"/>
          <w:kern w:val="0"/>
          <w:lang w:val="en-US"/>
          <w14:ligatures w14:val="none"/>
        </w:rPr>
        <w:t>What fine did ASIC impose on Dexus in 2026 for errors in its climate disclosures, and what does AASB S2 require companies to disclose about their biodiversity impacts?</w:t>
      </w:r>
    </w:p>
    <w:p w14:paraId="712802D9"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NotebookLM output:</w:t>
      </w:r>
    </w:p>
    <w:p w14:paraId="2702233D"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Based on the provided sources, both premises in your question reflect misunderstandings of the source material:</w:t>
      </w:r>
    </w:p>
    <w:p w14:paraId="180E9DED"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9" w:name="asic-fine-on-dexus-in-2026"/>
      <w:r w:rsidRPr="005418A0">
        <w:rPr>
          <w:rFonts w:ascii="Calibri" w:eastAsia="Calibri" w:hAnsi="Calibri" w:cs="Calibri"/>
          <w:iCs/>
          <w:color w:val="1F3A5F"/>
          <w:kern w:val="0"/>
          <w:lang w:val="en-US"/>
          <w14:ligatures w14:val="none"/>
        </w:rPr>
        <w:lastRenderedPageBreak/>
        <w:t>1. ASIC Fine on Dexus in 2026</w:t>
      </w:r>
    </w:p>
    <w:p w14:paraId="03CD3A82"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The sources </w:t>
      </w:r>
      <w:r w:rsidRPr="005418A0">
        <w:rPr>
          <w:rFonts w:ascii="Calibri" w:eastAsia="Calibri" w:hAnsi="Calibri" w:cs="Calibri"/>
          <w:b/>
          <w:bCs/>
          <w:kern w:val="0"/>
          <w:sz w:val="20"/>
          <w:lang w:val="en-US"/>
          <w14:ligatures w14:val="none"/>
        </w:rPr>
        <w:t>do not state that ASIC imposed any fine or penalty on Dexus</w:t>
      </w:r>
      <w:r w:rsidRPr="005418A0">
        <w:rPr>
          <w:rFonts w:ascii="Calibri" w:eastAsia="Calibri" w:hAnsi="Calibri" w:cs="Calibri"/>
          <w:kern w:val="0"/>
          <w:sz w:val="20"/>
          <w:lang w:val="en-US"/>
          <w14:ligatures w14:val="none"/>
        </w:rPr>
        <w:t xml:space="preserve"> for climate disclosure errors in 2026</w:t>
      </w:r>
      <w:r w:rsidRPr="005418A0">
        <w:rPr>
          <w:rFonts w:ascii="Calibri" w:eastAsia="Calibri" w:hAnsi="Calibri" w:cs="Calibri"/>
          <w:kern w:val="0"/>
          <w:sz w:val="20"/>
          <w:vertAlign w:val="superscript"/>
          <w:lang w:val="en-US"/>
          <w14:ligatures w14:val="none"/>
        </w:rPr>
        <w:t>[1]</w:t>
      </w:r>
      <w:r w:rsidRPr="005418A0">
        <w:rPr>
          <w:rFonts w:ascii="Calibri" w:eastAsia="Calibri" w:hAnsi="Calibri" w:cs="Calibri"/>
          <w:kern w:val="0"/>
          <w:sz w:val="20"/>
          <w:lang w:val="en-US"/>
          <w14:ligatures w14:val="none"/>
        </w:rPr>
        <w:t>.</w:t>
      </w:r>
    </w:p>
    <w:p w14:paraId="734A438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What the sources </w:t>
      </w:r>
      <w:r w:rsidRPr="005418A0">
        <w:rPr>
          <w:rFonts w:ascii="Calibri" w:eastAsia="Calibri" w:hAnsi="Calibri" w:cs="Calibri"/>
          <w:i/>
          <w:iCs/>
          <w:kern w:val="0"/>
          <w:sz w:val="20"/>
          <w:lang w:val="en-US"/>
          <w14:ligatures w14:val="none"/>
        </w:rPr>
        <w:t>do</w:t>
      </w:r>
      <w:r w:rsidRPr="005418A0">
        <w:rPr>
          <w:rFonts w:ascii="Calibri" w:eastAsia="Calibri" w:hAnsi="Calibri" w:cs="Calibri"/>
          <w:kern w:val="0"/>
          <w:sz w:val="20"/>
          <w:lang w:val="en-US"/>
          <w14:ligatures w14:val="none"/>
        </w:rPr>
        <w:t xml:space="preserve"> document regarding Dexus in 2026 is:</w:t>
      </w:r>
    </w:p>
    <w:p w14:paraId="030E462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Civil Court Proceedings (APAC Matter):</w:t>
      </w:r>
      <w:r w:rsidRPr="005418A0">
        <w:rPr>
          <w:rFonts w:ascii="Calibri" w:eastAsia="Calibri" w:hAnsi="Calibri" w:cs="Calibri"/>
          <w:kern w:val="0"/>
          <w:sz w:val="20"/>
          <w:lang w:val="en-US"/>
          <w14:ligatures w14:val="none"/>
        </w:rPr>
        <w:t xml:space="preserve"> In May 2026, the Supreme Court of New South Wales handed down an adverse judgment against the "Dexus Bloc" (representing a 27% interest in Australia Pacific Airports Corporation) relating to a commercial sale process</w:t>
      </w:r>
      <w:r w:rsidRPr="005418A0">
        <w:rPr>
          <w:rFonts w:ascii="Calibri" w:eastAsia="Calibri" w:hAnsi="Calibri" w:cs="Calibri"/>
          <w:kern w:val="0"/>
          <w:sz w:val="20"/>
          <w:vertAlign w:val="superscript"/>
          <w:lang w:val="en-US"/>
          <w14:ligatures w14:val="none"/>
        </w:rPr>
        <w:t>[4]</w:t>
      </w:r>
      <w:r w:rsidRPr="005418A0">
        <w:rPr>
          <w:rFonts w:ascii="Calibri" w:eastAsia="Calibri" w:hAnsi="Calibri" w:cs="Calibri"/>
          <w:kern w:val="0"/>
          <w:sz w:val="20"/>
          <w:lang w:val="en-US"/>
          <w14:ligatures w14:val="none"/>
        </w:rPr>
        <w:t>. This was a fiduciary dispute with private litigants rather than an ASIC enforcement action, resulting in approximately $60 million of expensed legal and court costs while under appeal</w:t>
      </w:r>
      <w:r w:rsidRPr="005418A0">
        <w:rPr>
          <w:rFonts w:ascii="Calibri" w:eastAsia="Calibri" w:hAnsi="Calibri" w:cs="Calibri"/>
          <w:kern w:val="0"/>
          <w:sz w:val="20"/>
          <w:vertAlign w:val="superscript"/>
          <w:lang w:val="en-US"/>
          <w14:ligatures w14:val="none"/>
        </w:rPr>
        <w:t>[5]</w:t>
      </w:r>
      <w:r w:rsidRPr="005418A0">
        <w:rPr>
          <w:rFonts w:ascii="Calibri" w:eastAsia="Calibri" w:hAnsi="Calibri" w:cs="Calibri"/>
          <w:kern w:val="0"/>
          <w:sz w:val="20"/>
          <w:lang w:val="en-US"/>
          <w14:ligatures w14:val="none"/>
        </w:rPr>
        <w:t>.</w:t>
      </w:r>
    </w:p>
    <w:p w14:paraId="55A5F60C"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Climate Disclosures Assurance:</w:t>
      </w:r>
      <w:r w:rsidRPr="005418A0">
        <w:rPr>
          <w:rFonts w:ascii="Calibri" w:eastAsia="Calibri" w:hAnsi="Calibri" w:cs="Calibri"/>
          <w:kern w:val="0"/>
          <w:sz w:val="20"/>
          <w:lang w:val="en-US"/>
          <w14:ligatures w14:val="none"/>
        </w:rPr>
        <w:t xml:space="preserve"> Dexus voluntarily prepared its FY26 Sustainability Report in compliance with AASB S2</w:t>
      </w:r>
      <w:r w:rsidRPr="005418A0">
        <w:rPr>
          <w:rFonts w:ascii="Calibri" w:eastAsia="Calibri" w:hAnsi="Calibri" w:cs="Calibri"/>
          <w:kern w:val="0"/>
          <w:sz w:val="20"/>
          <w:vertAlign w:val="superscript"/>
          <w:lang w:val="en-US"/>
          <w14:ligatures w14:val="none"/>
        </w:rPr>
        <w:t>[2][3]</w:t>
      </w:r>
      <w:r w:rsidRPr="005418A0">
        <w:rPr>
          <w:rFonts w:ascii="Calibri" w:eastAsia="Calibri" w:hAnsi="Calibri" w:cs="Calibri"/>
          <w:kern w:val="0"/>
          <w:sz w:val="20"/>
          <w:lang w:val="en-US"/>
          <w14:ligatures w14:val="none"/>
        </w:rPr>
        <w:t>. Independent auditor KPMG issued a limited assurance report on these disclosures, providing an update on 20 August 2026 in which its assurance conclusion remained unchanged</w:t>
      </w:r>
      <w:r w:rsidRPr="005418A0">
        <w:rPr>
          <w:rFonts w:ascii="Calibri" w:eastAsia="Calibri" w:hAnsi="Calibri" w:cs="Calibri"/>
          <w:kern w:val="0"/>
          <w:sz w:val="20"/>
          <w:vertAlign w:val="superscript"/>
          <w:lang w:val="en-US"/>
          <w14:ligatures w14:val="none"/>
        </w:rPr>
        <w:t>[1][9]</w:t>
      </w:r>
      <w:r w:rsidRPr="005418A0">
        <w:rPr>
          <w:rFonts w:ascii="Calibri" w:eastAsia="Calibri" w:hAnsi="Calibri" w:cs="Calibri"/>
          <w:kern w:val="0"/>
          <w:sz w:val="20"/>
          <w:lang w:val="en-US"/>
          <w14:ligatures w14:val="none"/>
        </w:rPr>
        <w:t>.</w:t>
      </w:r>
    </w:p>
    <w:p w14:paraId="5ADD06D2"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10" w:name="aasb-s2-biodiversity-requirements"/>
      <w:bookmarkEnd w:id="9"/>
      <w:r w:rsidRPr="005418A0">
        <w:rPr>
          <w:rFonts w:ascii="Calibri" w:eastAsia="Calibri" w:hAnsi="Calibri" w:cs="Calibri"/>
          <w:iCs/>
          <w:color w:val="1F3A5F"/>
          <w:kern w:val="0"/>
          <w:lang w:val="en-US"/>
          <w14:ligatures w14:val="none"/>
        </w:rPr>
        <w:t>2. AASB S2 Biodiversity Requirements</w:t>
      </w:r>
    </w:p>
    <w:p w14:paraId="6C5B9CA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AASB S2 does not contain mandatory disclosure requirements for biodiversity impacts</w:t>
      </w:r>
      <w:r w:rsidRPr="005418A0">
        <w:rPr>
          <w:rFonts w:ascii="Calibri" w:eastAsia="Calibri" w:hAnsi="Calibri" w:cs="Calibri"/>
          <w:kern w:val="0"/>
          <w:sz w:val="20"/>
          <w:vertAlign w:val="superscript"/>
          <w:lang w:val="en-US"/>
          <w14:ligatures w14:val="none"/>
        </w:rPr>
        <w:t>[10]</w:t>
      </w:r>
      <w:r w:rsidRPr="005418A0">
        <w:rPr>
          <w:rFonts w:ascii="Calibri" w:eastAsia="Calibri" w:hAnsi="Calibri" w:cs="Calibri"/>
          <w:kern w:val="0"/>
          <w:sz w:val="20"/>
          <w:lang w:val="en-US"/>
          <w14:ligatures w14:val="none"/>
        </w:rPr>
        <w:t>.</w:t>
      </w:r>
    </w:p>
    <w:p w14:paraId="1196726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The standard's scope and rules address:</w:t>
      </w:r>
    </w:p>
    <w:p w14:paraId="53AF1C33"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Climate-Specific Focus:</w:t>
      </w:r>
      <w:r w:rsidRPr="005418A0">
        <w:rPr>
          <w:rFonts w:ascii="Calibri" w:eastAsia="Calibri" w:hAnsi="Calibri" w:cs="Calibri"/>
          <w:kern w:val="0"/>
          <w:sz w:val="20"/>
          <w:lang w:val="en-US"/>
          <w14:ligatures w14:val="none"/>
        </w:rPr>
        <w:t xml:space="preserve"> AASB S2 (</w:t>
      </w:r>
      <w:r w:rsidRPr="005418A0">
        <w:rPr>
          <w:rFonts w:ascii="Calibri" w:eastAsia="Calibri" w:hAnsi="Calibri" w:cs="Calibri"/>
          <w:i/>
          <w:iCs/>
          <w:kern w:val="0"/>
          <w:sz w:val="20"/>
          <w:lang w:val="en-US"/>
          <w14:ligatures w14:val="none"/>
        </w:rPr>
        <w:t>Climate-related Disclosures</w:t>
      </w:r>
      <w:r w:rsidRPr="005418A0">
        <w:rPr>
          <w:rFonts w:ascii="Calibri" w:eastAsia="Calibri" w:hAnsi="Calibri" w:cs="Calibri"/>
          <w:kern w:val="0"/>
          <w:sz w:val="20"/>
          <w:lang w:val="en-US"/>
          <w14:ligatures w14:val="none"/>
        </w:rPr>
        <w:t>) is exclusively a climate standard requiring disclosures on greenhouse gas emissions (Scope 1, 2, and 3), climate scenario analysis, climate risk management, and climate transition plans</w:t>
      </w:r>
      <w:r w:rsidRPr="005418A0">
        <w:rPr>
          <w:rFonts w:ascii="Calibri" w:eastAsia="Calibri" w:hAnsi="Calibri" w:cs="Calibri"/>
          <w:kern w:val="0"/>
          <w:sz w:val="20"/>
          <w:vertAlign w:val="superscript"/>
          <w:lang w:val="en-US"/>
          <w14:ligatures w14:val="none"/>
        </w:rPr>
        <w:t>[10]</w:t>
      </w:r>
      <w:r w:rsidRPr="005418A0">
        <w:rPr>
          <w:rFonts w:ascii="Calibri" w:eastAsia="Calibri" w:hAnsi="Calibri" w:cs="Calibri"/>
          <w:kern w:val="0"/>
          <w:sz w:val="20"/>
          <w:lang w:val="en-US"/>
          <w14:ligatures w14:val="none"/>
        </w:rPr>
        <w:t>.</w:t>
      </w:r>
    </w:p>
    <w:p w14:paraId="7FD9C15E"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General Sustainability Framework:</w:t>
      </w:r>
      <w:r w:rsidRPr="005418A0">
        <w:rPr>
          <w:rFonts w:ascii="Calibri" w:eastAsia="Calibri" w:hAnsi="Calibri" w:cs="Calibri"/>
          <w:kern w:val="0"/>
          <w:sz w:val="20"/>
          <w:lang w:val="en-US"/>
          <w14:ligatures w14:val="none"/>
        </w:rPr>
        <w:t xml:space="preserve"> Broader nature or biodiversity impacts fall under general sustainability frameworks such as the voluntary </w:t>
      </w:r>
      <w:r w:rsidRPr="005418A0">
        <w:rPr>
          <w:rFonts w:ascii="Calibri" w:eastAsia="Calibri" w:hAnsi="Calibri" w:cs="Calibri"/>
          <w:b/>
          <w:bCs/>
          <w:kern w:val="0"/>
          <w:sz w:val="20"/>
          <w:lang w:val="en-US"/>
          <w14:ligatures w14:val="none"/>
        </w:rPr>
        <w:t>AASB S1</w:t>
      </w:r>
      <w:r w:rsidRPr="005418A0">
        <w:rPr>
          <w:rFonts w:ascii="Calibri" w:eastAsia="Calibri" w:hAnsi="Calibri" w:cs="Calibri"/>
          <w:kern w:val="0"/>
          <w:sz w:val="20"/>
          <w:lang w:val="en-US"/>
          <w14:ligatures w14:val="none"/>
        </w:rPr>
        <w:t xml:space="preserve"> standard (</w:t>
      </w:r>
      <w:r w:rsidRPr="005418A0">
        <w:rPr>
          <w:rFonts w:ascii="Calibri" w:eastAsia="Calibri" w:hAnsi="Calibri" w:cs="Calibri"/>
          <w:i/>
          <w:iCs/>
          <w:kern w:val="0"/>
          <w:sz w:val="20"/>
          <w:lang w:val="en-US"/>
          <w14:ligatures w14:val="none"/>
        </w:rPr>
        <w:t>General Requirements for Disclosure of Sustainability-related Financial Information</w:t>
      </w:r>
      <w:r w:rsidRPr="005418A0">
        <w:rPr>
          <w:rFonts w:ascii="Calibri" w:eastAsia="Calibri" w:hAnsi="Calibri" w:cs="Calibri"/>
          <w:kern w:val="0"/>
          <w:sz w:val="20"/>
          <w:lang w:val="en-US"/>
          <w14:ligatures w14:val="none"/>
        </w:rPr>
        <w:t>), which the Australian Accounting Standards Board issued separately as an optional framework</w:t>
      </w:r>
      <w:r w:rsidRPr="005418A0">
        <w:rPr>
          <w:rFonts w:ascii="Calibri" w:eastAsia="Calibri" w:hAnsi="Calibri" w:cs="Calibri"/>
          <w:kern w:val="0"/>
          <w:sz w:val="20"/>
          <w:vertAlign w:val="superscript"/>
          <w:lang w:val="en-US"/>
          <w14:ligatures w14:val="none"/>
        </w:rPr>
        <w:t>[12][14]</w:t>
      </w:r>
      <w:r w:rsidRPr="005418A0">
        <w:rPr>
          <w:rFonts w:ascii="Calibri" w:eastAsia="Calibri" w:hAnsi="Calibri" w:cs="Calibri"/>
          <w:kern w:val="0"/>
          <w:sz w:val="20"/>
          <w:lang w:val="en-US"/>
          <w14:ligatures w14:val="none"/>
        </w:rPr>
        <w:t>.</w:t>
      </w:r>
    </w:p>
    <w:p w14:paraId="5FDC221E"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Role of Biodiversity in Climate Disclosures:</w:t>
      </w:r>
      <w:r w:rsidRPr="005418A0">
        <w:rPr>
          <w:rFonts w:ascii="Calibri" w:eastAsia="Calibri" w:hAnsi="Calibri" w:cs="Calibri"/>
          <w:kern w:val="0"/>
          <w:sz w:val="20"/>
          <w:lang w:val="en-US"/>
          <w14:ligatures w14:val="none"/>
        </w:rPr>
        <w:t xml:space="preserve"> Within climate guidance, biodiversity loss is mentioned only in passing as an example of a potential indirect physical risk resulting from chronic climate shifts (such as long-term changes in temperature and precipitation)</w:t>
      </w:r>
      <w:r w:rsidRPr="005418A0">
        <w:rPr>
          <w:rFonts w:ascii="Calibri" w:eastAsia="Calibri" w:hAnsi="Calibri" w:cs="Calibri"/>
          <w:kern w:val="0"/>
          <w:sz w:val="20"/>
          <w:vertAlign w:val="superscript"/>
          <w:lang w:val="en-US"/>
          <w14:ligatures w14:val="none"/>
        </w:rPr>
        <w:t>[15]</w:t>
      </w:r>
      <w:r w:rsidRPr="005418A0">
        <w:rPr>
          <w:rFonts w:ascii="Calibri" w:eastAsia="Calibri" w:hAnsi="Calibri" w:cs="Calibri"/>
          <w:kern w:val="0"/>
          <w:sz w:val="20"/>
          <w:lang w:val="en-US"/>
          <w14:ligatures w14:val="none"/>
        </w:rPr>
        <w:t xml:space="preserve">. Individual companies like Dexus disclose their biodiversity management (such as Dexus's voluntary </w:t>
      </w:r>
      <w:r w:rsidRPr="005418A0">
        <w:rPr>
          <w:rFonts w:ascii="Calibri" w:eastAsia="Calibri" w:hAnsi="Calibri" w:cs="Calibri"/>
          <w:i/>
          <w:iCs/>
          <w:kern w:val="0"/>
          <w:sz w:val="20"/>
          <w:lang w:val="en-US"/>
          <w14:ligatures w14:val="none"/>
        </w:rPr>
        <w:t>Biodiversity Procedure</w:t>
      </w:r>
      <w:r w:rsidRPr="005418A0">
        <w:rPr>
          <w:rFonts w:ascii="Calibri" w:eastAsia="Calibri" w:hAnsi="Calibri" w:cs="Calibri"/>
          <w:kern w:val="0"/>
          <w:sz w:val="20"/>
          <w:lang w:val="en-US"/>
          <w14:ligatures w14:val="none"/>
        </w:rPr>
        <w:t xml:space="preserve"> and off-site habitat credits) under their own voluntary sustainability foundations rather than as an AASB S2 mandate</w:t>
      </w:r>
      <w:r w:rsidRPr="005418A0">
        <w:rPr>
          <w:rFonts w:ascii="Calibri" w:eastAsia="Calibri" w:hAnsi="Calibri" w:cs="Calibri"/>
          <w:kern w:val="0"/>
          <w:sz w:val="20"/>
          <w:vertAlign w:val="superscript"/>
          <w:lang w:val="en-US"/>
          <w14:ligatures w14:val="none"/>
        </w:rPr>
        <w:t>[16][17]</w:t>
      </w:r>
      <w:r w:rsidRPr="005418A0">
        <w:rPr>
          <w:rFonts w:ascii="Calibri" w:eastAsia="Calibri" w:hAnsi="Calibri" w:cs="Calibri"/>
          <w:kern w:val="0"/>
          <w:sz w:val="20"/>
          <w:lang w:val="en-US"/>
          <w14:ligatures w14:val="none"/>
        </w:rPr>
        <w:t>.</w:t>
      </w:r>
    </w:p>
    <w:bookmarkEnd w:id="10"/>
    <w:p w14:paraId="1B15B331"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Evaluation:</w:t>
      </w:r>
      <w:r w:rsidRPr="005418A0">
        <w:rPr>
          <w:rFonts w:ascii="Calibri" w:eastAsia="Calibri" w:hAnsi="Calibri" w:cs="Calibri"/>
          <w:kern w:val="0"/>
          <w:lang w:val="en-US"/>
          <w14:ligatures w14:val="none"/>
        </w:rPr>
        <w:t xml:space="preserve"> Both false premises were rejected with clear explanations, and nothing was invented. It correctly explained that AASB S2 covers climate only and that broader topics fall under the voluntary AASB S1. One minor issue: it volunteered an unrelated negative fact about Dexus (the airport court case). This is accurate and clearly labelled as not an ASIC action, but in a student’s briefing it could distract from the question.</w:t>
      </w:r>
    </w:p>
    <w:p w14:paraId="2A880D8F"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11" w:name="X76bec7b6b52dd29c8e58cab3efa44a35342ae6c"/>
      <w:bookmarkEnd w:id="8"/>
      <w:r w:rsidRPr="005418A0">
        <w:rPr>
          <w:rFonts w:ascii="Calibri" w:eastAsia="Calibri" w:hAnsi="Calibri" w:cs="Calibri"/>
          <w:b/>
          <w:bCs/>
          <w:color w:val="1F3A5F"/>
          <w:kern w:val="0"/>
          <w:sz w:val="32"/>
          <w:szCs w:val="32"/>
          <w:lang w:val="en-US"/>
          <w14:ligatures w14:val="none"/>
        </w:rPr>
        <w:t>Test 5 – Study material generation (briefing document)</w:t>
      </w:r>
    </w:p>
    <w:p w14:paraId="407CE79D"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Feature tested:</w:t>
      </w:r>
      <w:r w:rsidRPr="005418A0">
        <w:rPr>
          <w:rFonts w:ascii="Calibri" w:eastAsia="Calibri" w:hAnsi="Calibri" w:cs="Calibri"/>
          <w:kern w:val="0"/>
          <w:lang w:val="en-US"/>
          <w14:ligatures w14:val="none"/>
        </w:rPr>
        <w:t xml:space="preserve"> Studio → Reports → Document → Briefing doc (one-click generation, no prompt).</w:t>
      </w:r>
    </w:p>
    <w:p w14:paraId="12CE4283"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Coverage check:</w:t>
      </w:r>
    </w:p>
    <w:tbl>
      <w:tblPr>
        <w:tblStyle w:val="Table"/>
        <w:tblW w:w="0" w:type="auto"/>
        <w:tblLook w:val="0020" w:firstRow="1" w:lastRow="0" w:firstColumn="0" w:lastColumn="0" w:noHBand="0" w:noVBand="0"/>
      </w:tblPr>
      <w:tblGrid>
        <w:gridCol w:w="1409"/>
        <w:gridCol w:w="6082"/>
      </w:tblGrid>
      <w:tr w:rsidR="005418A0" w:rsidRPr="005418A0" w14:paraId="4CD88DA1" w14:textId="77777777" w:rsidTr="00FA00F8">
        <w:trPr>
          <w:cnfStyle w:val="100000000000" w:firstRow="1" w:lastRow="0" w:firstColumn="0" w:lastColumn="0" w:oddVBand="0" w:evenVBand="0" w:oddHBand="0" w:evenHBand="0" w:firstRowFirstColumn="0" w:firstRowLastColumn="0" w:lastRowFirstColumn="0" w:lastRowLastColumn="0"/>
          <w:tblHeader/>
        </w:trPr>
        <w:tc>
          <w:tcPr>
            <w:tcW w:w="0" w:type="auto"/>
          </w:tcPr>
          <w:p w14:paraId="0DDA5237" w14:textId="77777777" w:rsidR="005418A0" w:rsidRPr="005418A0" w:rsidRDefault="005418A0" w:rsidP="005418A0">
            <w:pPr>
              <w:spacing w:before="36" w:after="36"/>
            </w:pPr>
            <w:r w:rsidRPr="005418A0">
              <w:t>Source</w:t>
            </w:r>
          </w:p>
        </w:tc>
        <w:tc>
          <w:tcPr>
            <w:tcW w:w="0" w:type="auto"/>
          </w:tcPr>
          <w:p w14:paraId="0B90CB6B" w14:textId="77777777" w:rsidR="005418A0" w:rsidRPr="005418A0" w:rsidRDefault="005418A0" w:rsidP="005418A0">
            <w:pPr>
              <w:spacing w:before="36" w:after="36"/>
            </w:pPr>
            <w:r w:rsidRPr="005418A0">
              <w:t>Covered in the briefing?</w:t>
            </w:r>
          </w:p>
        </w:tc>
      </w:tr>
      <w:tr w:rsidR="005418A0" w:rsidRPr="005418A0" w14:paraId="71DC9DD0" w14:textId="77777777" w:rsidTr="00FA00F8">
        <w:tc>
          <w:tcPr>
            <w:tcW w:w="0" w:type="auto"/>
          </w:tcPr>
          <w:p w14:paraId="2ABE3773" w14:textId="77777777" w:rsidR="005418A0" w:rsidRPr="005418A0" w:rsidRDefault="005418A0" w:rsidP="005418A0">
            <w:pPr>
              <w:spacing w:before="36" w:after="36"/>
            </w:pPr>
            <w:r w:rsidRPr="005418A0">
              <w:t>AASB S2</w:t>
            </w:r>
          </w:p>
        </w:tc>
        <w:tc>
          <w:tcPr>
            <w:tcW w:w="0" w:type="auto"/>
          </w:tcPr>
          <w:p w14:paraId="5E620813" w14:textId="77777777" w:rsidR="005418A0" w:rsidRPr="005418A0" w:rsidRDefault="005418A0" w:rsidP="005418A0">
            <w:pPr>
              <w:spacing w:before="36" w:after="36"/>
            </w:pPr>
            <w:r w:rsidRPr="005418A0">
              <w:t>Yes, in great depth (most of the document)</w:t>
            </w:r>
          </w:p>
        </w:tc>
      </w:tr>
      <w:tr w:rsidR="005418A0" w:rsidRPr="005418A0" w14:paraId="6236697E" w14:textId="77777777" w:rsidTr="00FA00F8">
        <w:tc>
          <w:tcPr>
            <w:tcW w:w="0" w:type="auto"/>
          </w:tcPr>
          <w:p w14:paraId="379F1765" w14:textId="77777777" w:rsidR="005418A0" w:rsidRPr="005418A0" w:rsidRDefault="005418A0" w:rsidP="005418A0">
            <w:pPr>
              <w:spacing w:before="36" w:after="36"/>
            </w:pPr>
            <w:r w:rsidRPr="005418A0">
              <w:t>ASIC RG 280</w:t>
            </w:r>
          </w:p>
        </w:tc>
        <w:tc>
          <w:tcPr>
            <w:tcW w:w="0" w:type="auto"/>
          </w:tcPr>
          <w:p w14:paraId="6D5147A5" w14:textId="77777777" w:rsidR="005418A0" w:rsidRPr="005418A0" w:rsidRDefault="005418A0" w:rsidP="005418A0">
            <w:pPr>
              <w:spacing w:before="36" w:after="36"/>
            </w:pPr>
            <w:r w:rsidRPr="005418A0">
              <w:t>Partly (lodgement deadlines, who must report, audit timing)</w:t>
            </w:r>
          </w:p>
        </w:tc>
      </w:tr>
      <w:tr w:rsidR="005418A0" w:rsidRPr="005418A0" w14:paraId="11C22281" w14:textId="77777777" w:rsidTr="00FA00F8">
        <w:tc>
          <w:tcPr>
            <w:tcW w:w="0" w:type="auto"/>
          </w:tcPr>
          <w:p w14:paraId="5C79FDD5" w14:textId="77777777" w:rsidR="005418A0" w:rsidRPr="005418A0" w:rsidRDefault="005418A0" w:rsidP="005418A0">
            <w:pPr>
              <w:spacing w:before="36" w:after="36"/>
            </w:pPr>
            <w:r w:rsidRPr="005418A0">
              <w:t>Dexus</w:t>
            </w:r>
          </w:p>
        </w:tc>
        <w:tc>
          <w:tcPr>
            <w:tcW w:w="0" w:type="auto"/>
          </w:tcPr>
          <w:p w14:paraId="4F0BC645" w14:textId="77777777" w:rsidR="005418A0" w:rsidRPr="005418A0" w:rsidRDefault="005418A0" w:rsidP="005418A0">
            <w:pPr>
              <w:spacing w:before="36" w:after="36"/>
            </w:pPr>
            <w:r w:rsidRPr="005418A0">
              <w:rPr>
                <w:b/>
                <w:bCs/>
              </w:rPr>
              <w:t>No, not mentioned at all</w:t>
            </w:r>
          </w:p>
        </w:tc>
      </w:tr>
    </w:tbl>
    <w:p w14:paraId="5FB275BE"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lastRenderedPageBreak/>
        <w:t>Other observations:</w:t>
      </w:r>
    </w:p>
    <w:p w14:paraId="5C5BF3C8"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No citations:</w:t>
      </w:r>
      <w:r w:rsidRPr="005418A0">
        <w:rPr>
          <w:rFonts w:ascii="Calibri" w:eastAsia="Calibri" w:hAnsi="Calibri" w:cs="Calibri"/>
          <w:kern w:val="0"/>
          <w:lang w:val="en-US"/>
          <w14:ligatures w14:val="none"/>
        </w:rPr>
        <w:t xml:space="preserve"> no citation numbers appeared in the briefing on screen or in the copied text, unlike chat answers, so its claims cannot be traced back to the sources without searching the PDFs manually.</w:t>
      </w:r>
    </w:p>
    <w:p w14:paraId="4EA41FDD"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Irrelevant content:</w:t>
      </w:r>
      <w:r w:rsidRPr="005418A0">
        <w:rPr>
          <w:rFonts w:ascii="Calibri" w:eastAsia="Calibri" w:hAnsi="Calibri" w:cs="Calibri"/>
          <w:kern w:val="0"/>
          <w:lang w:val="en-US"/>
          <w14:ligatures w14:val="none"/>
        </w:rPr>
        <w:t xml:space="preserve"> long sections on emissions rules for banks, insurers and asset managers, which do not suit a property-focused briefing.</w:t>
      </w:r>
    </w:p>
    <w:p w14:paraId="096743D2"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Formatting errors:</w:t>
      </w:r>
      <w:r w:rsidRPr="005418A0">
        <w:rPr>
          <w:rFonts w:ascii="Calibri" w:eastAsia="Calibri" w:hAnsi="Calibri" w:cs="Calibri"/>
          <w:kern w:val="0"/>
          <w:lang w:val="en-US"/>
          <w14:ligatures w14:val="none"/>
        </w:rPr>
        <w:t xml:space="preserve"> chemical formulas appear as raw code (for example </w:t>
      </w:r>
      <w:r w:rsidRPr="005418A0">
        <w:rPr>
          <w:rFonts w:ascii="Calibri" w:eastAsia="Calibri" w:hAnsi="Calibri" w:cs="Calibri"/>
          <w:kern w:val="0"/>
          <w:sz w:val="22"/>
          <w:lang w:val="en-US"/>
          <w14:ligatures w14:val="none"/>
        </w:rPr>
        <w:t>\text{CO}_2\text{e}</w:t>
      </w:r>
      <w:r w:rsidRPr="005418A0">
        <w:rPr>
          <w:rFonts w:ascii="Calibri" w:eastAsia="Calibri" w:hAnsi="Calibri" w:cs="Calibri"/>
          <w:kern w:val="0"/>
          <w:lang w:val="en-US"/>
          <w14:ligatures w14:val="none"/>
        </w:rPr>
        <w:t xml:space="preserve"> instead of CO₂e), and diagrams are drawn with text characters.</w:t>
      </w:r>
    </w:p>
    <w:p w14:paraId="59A17D4B"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b/>
          <w:bCs/>
          <w:kern w:val="0"/>
          <w:lang w:val="en-US"/>
          <w14:ligatures w14:val="none"/>
        </w:rPr>
        <w:t>Evaluation:</w:t>
      </w:r>
      <w:r w:rsidRPr="005418A0">
        <w:rPr>
          <w:rFonts w:ascii="Calibri" w:eastAsia="Calibri" w:hAnsi="Calibri" w:cs="Calibri"/>
          <w:kern w:val="0"/>
          <w:lang w:val="en-US"/>
          <w14:ligatures w14:val="none"/>
        </w:rPr>
        <w:t xml:space="preserve"> The weakest result. The briefing left out the source most relevant to the scenario, so a student asking how a property company responded to the new rules would get no answer to that question. Combined with the missing citations, this shows that the more automated the output, the harder it is to trust and verify. The full briefing is reproduced in Appendix A as evidence.</w:t>
      </w:r>
    </w:p>
    <w:p w14:paraId="23509451"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12" w:name="limitations-of-this-evaluation"/>
      <w:bookmarkEnd w:id="11"/>
      <w:r w:rsidRPr="005418A0">
        <w:rPr>
          <w:rFonts w:ascii="Calibri" w:eastAsia="Calibri" w:hAnsi="Calibri" w:cs="Calibri"/>
          <w:b/>
          <w:bCs/>
          <w:color w:val="1F3A5F"/>
          <w:kern w:val="0"/>
          <w:sz w:val="32"/>
          <w:szCs w:val="32"/>
          <w:lang w:val="en-US"/>
          <w14:ligatures w14:val="none"/>
        </w:rPr>
        <w:t>Limitations of this evaluation</w:t>
      </w:r>
    </w:p>
    <w:p w14:paraId="6556BABE"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kern w:val="0"/>
          <w:lang w:val="en-US"/>
          <w14:ligatures w14:val="none"/>
        </w:rPr>
        <w:t>One scenario, three sources and five tests, so the results illustrate behaviour rather than prove it across all uses.</w:t>
      </w:r>
    </w:p>
    <w:p w14:paraId="4B470AA0"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kern w:val="0"/>
          <w:lang w:val="en-US"/>
          <w14:ligatures w14:val="none"/>
        </w:rPr>
        <w:t>Each test was run once, and NotebookLM’s answers can vary between runs.</w:t>
      </w:r>
    </w:p>
    <w:p w14:paraId="7F6F82C6"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kern w:val="0"/>
          <w:lang w:val="en-US"/>
          <w14:ligatures w14:val="none"/>
        </w:rPr>
        <w:t>Accuracy was checked by opening citations for selected claims, not by verifying every statement.</w:t>
      </w:r>
    </w:p>
    <w:p w14:paraId="73F8E049" w14:textId="77777777" w:rsidR="005418A0" w:rsidRPr="005418A0" w:rsidRDefault="005418A0" w:rsidP="005418A0">
      <w:pPr>
        <w:keepNext/>
        <w:keepLines/>
        <w:spacing w:before="480" w:after="0" w:line="240" w:lineRule="auto"/>
        <w:outlineLvl w:val="0"/>
        <w:rPr>
          <w:rFonts w:ascii="Calibri" w:eastAsia="Calibri" w:hAnsi="Calibri" w:cs="Calibri"/>
          <w:b/>
          <w:bCs/>
          <w:color w:val="1F3A5F"/>
          <w:kern w:val="0"/>
          <w:sz w:val="32"/>
          <w:szCs w:val="32"/>
          <w:lang w:val="en-US"/>
          <w14:ligatures w14:val="none"/>
        </w:rPr>
      </w:pPr>
      <w:bookmarkStart w:id="13" w:name="appendix-a-full-test-5-briefing-output"/>
      <w:bookmarkEnd w:id="12"/>
      <w:r w:rsidRPr="005418A0">
        <w:rPr>
          <w:rFonts w:ascii="Calibri" w:eastAsia="Calibri" w:hAnsi="Calibri" w:cs="Calibri"/>
          <w:b/>
          <w:bCs/>
          <w:color w:val="1F3A5F"/>
          <w:kern w:val="0"/>
          <w:sz w:val="32"/>
          <w:szCs w:val="32"/>
          <w:lang w:val="en-US"/>
          <w14:ligatures w14:val="none"/>
        </w:rPr>
        <w:t>Appendix A – Full Test 5 briefing output</w:t>
      </w:r>
    </w:p>
    <w:p w14:paraId="2DC14230" w14:textId="77777777" w:rsidR="005418A0" w:rsidRPr="005418A0" w:rsidRDefault="005418A0" w:rsidP="005418A0">
      <w:pPr>
        <w:spacing w:before="180" w:after="180" w:line="240" w:lineRule="auto"/>
        <w:rPr>
          <w:rFonts w:ascii="Calibri" w:eastAsia="Calibri" w:hAnsi="Calibri" w:cs="Calibri"/>
          <w:kern w:val="0"/>
          <w:lang w:val="en-US"/>
          <w14:ligatures w14:val="none"/>
        </w:rPr>
      </w:pPr>
      <w:r w:rsidRPr="005418A0">
        <w:rPr>
          <w:rFonts w:ascii="Calibri" w:eastAsia="Calibri" w:hAnsi="Calibri" w:cs="Calibri"/>
          <w:kern w:val="0"/>
          <w:lang w:val="en-US"/>
          <w14:ligatures w14:val="none"/>
        </w:rPr>
        <w:t>The text below was copied unedited from NotebookLM, including its formatting errors.</w:t>
      </w:r>
    </w:p>
    <w:p w14:paraId="6A14F40A"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14" w:name="X61df8d099a3eb762f6854ff5bdcec494d5e50c9"/>
      <w:r w:rsidRPr="005418A0">
        <w:rPr>
          <w:rFonts w:ascii="Calibri" w:eastAsia="Calibri" w:hAnsi="Calibri" w:cs="Calibri"/>
          <w:iCs/>
          <w:color w:val="1F3A5F"/>
          <w:kern w:val="0"/>
          <w:lang w:val="en-US"/>
          <w14:ligatures w14:val="none"/>
        </w:rPr>
        <w:t>Executive Briefing: Australian Sustainability Reporting Standard AASB S2 &amp; ASIC Regulatory Guide 280 Framework</w:t>
      </w:r>
    </w:p>
    <w:p w14:paraId="40E32436"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15" w:name="executive-summary"/>
      <w:bookmarkEnd w:id="14"/>
      <w:r w:rsidRPr="005418A0">
        <w:rPr>
          <w:rFonts w:ascii="Calibri" w:eastAsia="Calibri" w:hAnsi="Calibri" w:cs="Calibri"/>
          <w:bCs/>
          <w:i/>
          <w:color w:val="1F3A5F"/>
          <w:kern w:val="0"/>
          <w:lang w:val="en-US"/>
          <w14:ligatures w14:val="none"/>
        </w:rPr>
        <w:t>Executive Summary</w:t>
      </w:r>
    </w:p>
    <w:p w14:paraId="64F0F9C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This briefing document synthesizes the mandatory framework for climate-related financial disclosures in Australia, established under </w:t>
      </w:r>
      <w:r w:rsidRPr="005418A0">
        <w:rPr>
          <w:rFonts w:ascii="Calibri" w:eastAsia="Calibri" w:hAnsi="Calibri" w:cs="Calibri"/>
          <w:b/>
          <w:bCs/>
          <w:kern w:val="0"/>
          <w:sz w:val="20"/>
          <w:lang w:val="en-US"/>
          <w14:ligatures w14:val="none"/>
        </w:rPr>
        <w:t>Australian Sustainability Reporting Standard AASB S2 (</w:t>
      </w:r>
      <w:r w:rsidRPr="005418A0">
        <w:rPr>
          <w:rFonts w:ascii="Calibri" w:eastAsia="Calibri" w:hAnsi="Calibri" w:cs="Calibri"/>
          <w:b/>
          <w:bCs/>
          <w:i/>
          <w:iCs/>
          <w:kern w:val="0"/>
          <w:sz w:val="20"/>
          <w:lang w:val="en-US"/>
          <w14:ligatures w14:val="none"/>
        </w:rPr>
        <w:t>Climate-related Disclosures</w:t>
      </w:r>
      <w:r w:rsidRPr="005418A0">
        <w:rPr>
          <w:rFonts w:ascii="Calibri" w:eastAsia="Calibri" w:hAnsi="Calibri" w:cs="Calibri"/>
          <w:b/>
          <w:bCs/>
          <w:kern w:val="0"/>
          <w:sz w:val="20"/>
          <w:lang w:val="en-US"/>
          <w14:ligatures w14:val="none"/>
        </w:rPr>
        <w:t>)</w:t>
      </w:r>
      <w:r w:rsidRPr="005418A0">
        <w:rPr>
          <w:rFonts w:ascii="Calibri" w:eastAsia="Calibri" w:hAnsi="Calibri" w:cs="Calibri"/>
          <w:kern w:val="0"/>
          <w:sz w:val="20"/>
          <w:lang w:val="en-US"/>
          <w14:ligatures w14:val="none"/>
        </w:rPr>
        <w:t xml:space="preserve"> and regulated via </w:t>
      </w:r>
      <w:r w:rsidRPr="005418A0">
        <w:rPr>
          <w:rFonts w:ascii="Calibri" w:eastAsia="Calibri" w:hAnsi="Calibri" w:cs="Calibri"/>
          <w:b/>
          <w:bCs/>
          <w:kern w:val="0"/>
          <w:sz w:val="20"/>
          <w:lang w:val="en-US"/>
          <w14:ligatures w14:val="none"/>
        </w:rPr>
        <w:t>ASIC Regulatory Guide 280 (</w:t>
      </w:r>
      <w:r w:rsidRPr="005418A0">
        <w:rPr>
          <w:rFonts w:ascii="Calibri" w:eastAsia="Calibri" w:hAnsi="Calibri" w:cs="Calibri"/>
          <w:b/>
          <w:bCs/>
          <w:i/>
          <w:iCs/>
          <w:kern w:val="0"/>
          <w:sz w:val="20"/>
          <w:lang w:val="en-US"/>
          <w14:ligatures w14:val="none"/>
        </w:rPr>
        <w:t>Sustainability reporting</w:t>
      </w:r>
      <w:r w:rsidRPr="005418A0">
        <w:rPr>
          <w:rFonts w:ascii="Calibri" w:eastAsia="Calibri" w:hAnsi="Calibri" w:cs="Calibri"/>
          <w:b/>
          <w:bCs/>
          <w:kern w:val="0"/>
          <w:sz w:val="20"/>
          <w:lang w:val="en-US"/>
          <w14:ligatures w14:val="none"/>
        </w:rPr>
        <w:t>)</w:t>
      </w:r>
      <w:r w:rsidRPr="005418A0">
        <w:rPr>
          <w:rFonts w:ascii="Calibri" w:eastAsia="Calibri" w:hAnsi="Calibri" w:cs="Calibri"/>
          <w:kern w:val="0"/>
          <w:sz w:val="20"/>
          <w:lang w:val="en-US"/>
          <w14:ligatures w14:val="none"/>
        </w:rPr>
        <w:t xml:space="preserve">. Introduced to support amendments to Chapter 2M of the </w:t>
      </w:r>
      <w:r w:rsidRPr="005418A0">
        <w:rPr>
          <w:rFonts w:ascii="Calibri" w:eastAsia="Calibri" w:hAnsi="Calibri" w:cs="Calibri"/>
          <w:i/>
          <w:iCs/>
          <w:kern w:val="0"/>
          <w:sz w:val="20"/>
          <w:lang w:val="en-US"/>
          <w14:ligatures w14:val="none"/>
        </w:rPr>
        <w:t>Corporations Act 2001</w:t>
      </w:r>
      <w:r w:rsidRPr="005418A0">
        <w:rPr>
          <w:rFonts w:ascii="Calibri" w:eastAsia="Calibri" w:hAnsi="Calibri" w:cs="Calibri"/>
          <w:kern w:val="0"/>
          <w:sz w:val="20"/>
          <w:lang w:val="en-US"/>
          <w14:ligatures w14:val="none"/>
        </w:rPr>
        <w:t xml:space="preserve"> via the </w:t>
      </w:r>
      <w:r w:rsidRPr="005418A0">
        <w:rPr>
          <w:rFonts w:ascii="Calibri" w:eastAsia="Calibri" w:hAnsi="Calibri" w:cs="Calibri"/>
          <w:i/>
          <w:iCs/>
          <w:kern w:val="0"/>
          <w:sz w:val="20"/>
          <w:lang w:val="en-US"/>
          <w14:ligatures w14:val="none"/>
        </w:rPr>
        <w:t>Treasury Laws Amendment (Financial Market Infrastructure and Other Measures) Act 2024</w:t>
      </w:r>
      <w:r w:rsidRPr="005418A0">
        <w:rPr>
          <w:rFonts w:ascii="Calibri" w:eastAsia="Calibri" w:hAnsi="Calibri" w:cs="Calibri"/>
          <w:kern w:val="0"/>
          <w:sz w:val="20"/>
          <w:lang w:val="en-US"/>
          <w14:ligatures w14:val="none"/>
        </w:rPr>
        <w:t>, this regime marks a profound shift in Australian corporate reporting.</w:t>
      </w:r>
    </w:p>
    <w:p w14:paraId="0BAABF5B"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16" w:name="core-takeaways"/>
      <w:r w:rsidRPr="005418A0">
        <w:rPr>
          <w:rFonts w:ascii="Calibri" w:eastAsia="Calibri" w:hAnsi="Calibri" w:cs="Calibri"/>
          <w:iCs/>
          <w:color w:val="1F3A5F"/>
          <w:kern w:val="0"/>
          <w:lang w:val="en-US"/>
          <w14:ligatures w14:val="none"/>
        </w:rPr>
        <w:t>Core Takeaways:</w:t>
      </w:r>
    </w:p>
    <w:p w14:paraId="307BAFCC" w14:textId="77777777" w:rsidR="005418A0" w:rsidRPr="005418A0" w:rsidRDefault="005418A0" w:rsidP="005418A0">
      <w:pPr>
        <w:numPr>
          <w:ilvl w:val="0"/>
          <w:numId w:val="35"/>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Mandatory Reporting Regime:</w:t>
      </w:r>
      <w:r w:rsidRPr="005418A0">
        <w:rPr>
          <w:rFonts w:ascii="Calibri" w:eastAsia="Calibri" w:hAnsi="Calibri" w:cs="Calibri"/>
          <w:kern w:val="0"/>
          <w:sz w:val="20"/>
          <w:lang w:val="en-US"/>
          <w14:ligatures w14:val="none"/>
        </w:rPr>
        <w:t xml:space="preserve"> Under Chapter 2M of the Corporations Act, entities meeting specific statutory thresholds must prepare, lodge, and disclose an annual sustainability report comprising </w:t>
      </w:r>
      <w:r w:rsidRPr="005418A0">
        <w:rPr>
          <w:rFonts w:ascii="Calibri" w:eastAsia="Calibri" w:hAnsi="Calibri" w:cs="Calibri"/>
          <w:b/>
          <w:bCs/>
          <w:kern w:val="0"/>
          <w:sz w:val="20"/>
          <w:lang w:val="en-US"/>
          <w14:ligatures w14:val="none"/>
        </w:rPr>
        <w:t>climate statements</w:t>
      </w:r>
      <w:r w:rsidRPr="005418A0">
        <w:rPr>
          <w:rFonts w:ascii="Calibri" w:eastAsia="Calibri" w:hAnsi="Calibri" w:cs="Calibri"/>
          <w:kern w:val="0"/>
          <w:sz w:val="20"/>
          <w:lang w:val="en-US"/>
          <w14:ligatures w14:val="none"/>
        </w:rPr>
        <w:t xml:space="preserve">, </w:t>
      </w:r>
      <w:r w:rsidRPr="005418A0">
        <w:rPr>
          <w:rFonts w:ascii="Calibri" w:eastAsia="Calibri" w:hAnsi="Calibri" w:cs="Calibri"/>
          <w:b/>
          <w:bCs/>
          <w:kern w:val="0"/>
          <w:sz w:val="20"/>
          <w:lang w:val="en-US"/>
          <w14:ligatures w14:val="none"/>
        </w:rPr>
        <w:t>notes to the climate statements</w:t>
      </w:r>
      <w:r w:rsidRPr="005418A0">
        <w:rPr>
          <w:rFonts w:ascii="Calibri" w:eastAsia="Calibri" w:hAnsi="Calibri" w:cs="Calibri"/>
          <w:kern w:val="0"/>
          <w:sz w:val="20"/>
          <w:lang w:val="en-US"/>
          <w14:ligatures w14:val="none"/>
        </w:rPr>
        <w:t xml:space="preserve">, and a </w:t>
      </w:r>
      <w:r w:rsidRPr="005418A0">
        <w:rPr>
          <w:rFonts w:ascii="Calibri" w:eastAsia="Calibri" w:hAnsi="Calibri" w:cs="Calibri"/>
          <w:b/>
          <w:bCs/>
          <w:kern w:val="0"/>
          <w:sz w:val="20"/>
          <w:lang w:val="en-US"/>
          <w14:ligatures w14:val="none"/>
        </w:rPr>
        <w:t>directors' declaration</w:t>
      </w:r>
      <w:r w:rsidRPr="005418A0">
        <w:rPr>
          <w:rFonts w:ascii="Calibri" w:eastAsia="Calibri" w:hAnsi="Calibri" w:cs="Calibri"/>
          <w:kern w:val="0"/>
          <w:sz w:val="20"/>
          <w:lang w:val="en-US"/>
          <w14:ligatures w14:val="none"/>
        </w:rPr>
        <w:t>.</w:t>
      </w:r>
    </w:p>
    <w:p w14:paraId="1413DF42" w14:textId="77777777" w:rsidR="005418A0" w:rsidRPr="005418A0" w:rsidRDefault="005418A0" w:rsidP="005418A0">
      <w:pPr>
        <w:numPr>
          <w:ilvl w:val="0"/>
          <w:numId w:val="35"/>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Four Core Content Pillars:</w:t>
      </w:r>
      <w:r w:rsidRPr="005418A0">
        <w:rPr>
          <w:rFonts w:ascii="Calibri" w:eastAsia="Calibri" w:hAnsi="Calibri" w:cs="Calibri"/>
          <w:kern w:val="0"/>
          <w:sz w:val="20"/>
          <w:lang w:val="en-US"/>
          <w14:ligatures w14:val="none"/>
        </w:rPr>
        <w:t xml:space="preserve"> Disclosures are structured around four core pillars adapted from the International Sustainability Standards Board (ISSB) framework: </w:t>
      </w:r>
      <w:r w:rsidRPr="005418A0">
        <w:rPr>
          <w:rFonts w:ascii="Calibri" w:eastAsia="Calibri" w:hAnsi="Calibri" w:cs="Calibri"/>
          <w:b/>
          <w:bCs/>
          <w:kern w:val="0"/>
          <w:sz w:val="20"/>
          <w:lang w:val="en-US"/>
          <w14:ligatures w14:val="none"/>
        </w:rPr>
        <w:t>Governance</w:t>
      </w:r>
      <w:r w:rsidRPr="005418A0">
        <w:rPr>
          <w:rFonts w:ascii="Calibri" w:eastAsia="Calibri" w:hAnsi="Calibri" w:cs="Calibri"/>
          <w:kern w:val="0"/>
          <w:sz w:val="20"/>
          <w:lang w:val="en-US"/>
          <w14:ligatures w14:val="none"/>
        </w:rPr>
        <w:t xml:space="preserve">, </w:t>
      </w:r>
      <w:r w:rsidRPr="005418A0">
        <w:rPr>
          <w:rFonts w:ascii="Calibri" w:eastAsia="Calibri" w:hAnsi="Calibri" w:cs="Calibri"/>
          <w:b/>
          <w:bCs/>
          <w:kern w:val="0"/>
          <w:sz w:val="20"/>
          <w:lang w:val="en-US"/>
          <w14:ligatures w14:val="none"/>
        </w:rPr>
        <w:t>Strategy</w:t>
      </w:r>
      <w:r w:rsidRPr="005418A0">
        <w:rPr>
          <w:rFonts w:ascii="Calibri" w:eastAsia="Calibri" w:hAnsi="Calibri" w:cs="Calibri"/>
          <w:kern w:val="0"/>
          <w:sz w:val="20"/>
          <w:lang w:val="en-US"/>
          <w14:ligatures w14:val="none"/>
        </w:rPr>
        <w:t xml:space="preserve">, </w:t>
      </w:r>
      <w:r w:rsidRPr="005418A0">
        <w:rPr>
          <w:rFonts w:ascii="Calibri" w:eastAsia="Calibri" w:hAnsi="Calibri" w:cs="Calibri"/>
          <w:b/>
          <w:bCs/>
          <w:kern w:val="0"/>
          <w:sz w:val="20"/>
          <w:lang w:val="en-US"/>
          <w14:ligatures w14:val="none"/>
        </w:rPr>
        <w:t>Risk Management</w:t>
      </w:r>
      <w:r w:rsidRPr="005418A0">
        <w:rPr>
          <w:rFonts w:ascii="Calibri" w:eastAsia="Calibri" w:hAnsi="Calibri" w:cs="Calibri"/>
          <w:kern w:val="0"/>
          <w:sz w:val="20"/>
          <w:lang w:val="en-US"/>
          <w14:ligatures w14:val="none"/>
        </w:rPr>
        <w:t xml:space="preserve">, and </w:t>
      </w:r>
      <w:r w:rsidRPr="005418A0">
        <w:rPr>
          <w:rFonts w:ascii="Calibri" w:eastAsia="Calibri" w:hAnsi="Calibri" w:cs="Calibri"/>
          <w:b/>
          <w:bCs/>
          <w:kern w:val="0"/>
          <w:sz w:val="20"/>
          <w:lang w:val="en-US"/>
          <w14:ligatures w14:val="none"/>
        </w:rPr>
        <w:t>Metrics and Targets</w:t>
      </w:r>
      <w:r w:rsidRPr="005418A0">
        <w:rPr>
          <w:rFonts w:ascii="Calibri" w:eastAsia="Calibri" w:hAnsi="Calibri" w:cs="Calibri"/>
          <w:kern w:val="0"/>
          <w:sz w:val="20"/>
          <w:lang w:val="en-US"/>
          <w14:ligatures w14:val="none"/>
        </w:rPr>
        <w:t>.</w:t>
      </w:r>
    </w:p>
    <w:p w14:paraId="596898A7" w14:textId="77777777" w:rsidR="005418A0" w:rsidRPr="005418A0" w:rsidRDefault="005418A0" w:rsidP="005418A0">
      <w:pPr>
        <w:numPr>
          <w:ilvl w:val="0"/>
          <w:numId w:val="35"/>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lastRenderedPageBreak/>
        <w:t>Key Modifications from International Standards (IFRS S2):</w:t>
      </w:r>
    </w:p>
    <w:p w14:paraId="1CB528EB"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Standalone Standard:</w:t>
      </w:r>
      <w:r w:rsidRPr="005418A0">
        <w:rPr>
          <w:rFonts w:ascii="Calibri" w:eastAsia="Calibri" w:hAnsi="Calibri" w:cs="Calibri"/>
          <w:kern w:val="0"/>
          <w:sz w:val="20"/>
          <w:lang w:val="en-US"/>
          <w14:ligatures w14:val="none"/>
        </w:rPr>
        <w:t xml:space="preserve"> AASB S2 functions independently without requiring concurrent application of AASB S1 (which remains voluntary in Australia). General reporting requirements are incorporated via </w:t>
      </w:r>
      <w:r w:rsidRPr="005418A0">
        <w:rPr>
          <w:rFonts w:ascii="Calibri" w:eastAsia="Calibri" w:hAnsi="Calibri" w:cs="Calibri"/>
          <w:b/>
          <w:bCs/>
          <w:kern w:val="0"/>
          <w:sz w:val="20"/>
          <w:lang w:val="en-US"/>
          <w14:ligatures w14:val="none"/>
        </w:rPr>
        <w:t>Appendix D</w:t>
      </w:r>
      <w:r w:rsidRPr="005418A0">
        <w:rPr>
          <w:rFonts w:ascii="Calibri" w:eastAsia="Calibri" w:hAnsi="Calibri" w:cs="Calibri"/>
          <w:kern w:val="0"/>
          <w:sz w:val="20"/>
          <w:lang w:val="en-US"/>
          <w14:ligatures w14:val="none"/>
        </w:rPr>
        <w:t>.</w:t>
      </w:r>
    </w:p>
    <w:p w14:paraId="6CEF8893"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Industry-Based Metrics Exemption:</w:t>
      </w:r>
      <w:r w:rsidRPr="005418A0">
        <w:rPr>
          <w:rFonts w:ascii="Calibri" w:eastAsia="Calibri" w:hAnsi="Calibri" w:cs="Calibri"/>
          <w:kern w:val="0"/>
          <w:sz w:val="20"/>
          <w:lang w:val="en-US"/>
          <w14:ligatures w14:val="none"/>
        </w:rPr>
        <w:t xml:space="preserve"> Entities are currently exempt from disclosing industry-based metrics (e.g., SASB standards) as an interim measure, with mandatory industry-specific standards targeted for completion by 2030.</w:t>
      </w:r>
    </w:p>
    <w:p w14:paraId="3C575B00"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Consolidated Entity Choice:</w:t>
      </w:r>
      <w:r w:rsidRPr="005418A0">
        <w:rPr>
          <w:rFonts w:ascii="Calibri" w:eastAsia="Calibri" w:hAnsi="Calibri" w:cs="Calibri"/>
          <w:kern w:val="0"/>
          <w:sz w:val="20"/>
          <w:lang w:val="en-US"/>
          <w14:ligatures w14:val="none"/>
        </w:rPr>
        <w:t xml:space="preserve"> In line with section 292A(2) of the Corporations Act, a parent entity may elect to prepare climate disclosures for either the consolidated entity or the parent entity alone.</w:t>
      </w:r>
    </w:p>
    <w:p w14:paraId="7E4AE28B" w14:textId="77777777" w:rsidR="005418A0" w:rsidRPr="005418A0" w:rsidRDefault="005418A0" w:rsidP="005418A0">
      <w:pPr>
        <w:numPr>
          <w:ilvl w:val="0"/>
          <w:numId w:val="35"/>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Emissions Reporting &amp; Technical Rules:</w:t>
      </w:r>
    </w:p>
    <w:p w14:paraId="19E1DCA5"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Absolute gross emissions must be reported across </w:t>
      </w:r>
      <w:r w:rsidRPr="005418A0">
        <w:rPr>
          <w:rFonts w:ascii="Calibri" w:eastAsia="Calibri" w:hAnsi="Calibri" w:cs="Calibri"/>
          <w:b/>
          <w:bCs/>
          <w:kern w:val="0"/>
          <w:sz w:val="20"/>
          <w:lang w:val="en-US"/>
          <w14:ligatures w14:val="none"/>
        </w:rPr>
        <w:t>Scope 1</w:t>
      </w:r>
      <w:r w:rsidRPr="005418A0">
        <w:rPr>
          <w:rFonts w:ascii="Calibri" w:eastAsia="Calibri" w:hAnsi="Calibri" w:cs="Calibri"/>
          <w:kern w:val="0"/>
          <w:sz w:val="20"/>
          <w:lang w:val="en-US"/>
          <w14:ligatures w14:val="none"/>
        </w:rPr>
        <w:t xml:space="preserve">, </w:t>
      </w:r>
      <w:r w:rsidRPr="005418A0">
        <w:rPr>
          <w:rFonts w:ascii="Calibri" w:eastAsia="Calibri" w:hAnsi="Calibri" w:cs="Calibri"/>
          <w:b/>
          <w:bCs/>
          <w:kern w:val="0"/>
          <w:sz w:val="20"/>
          <w:lang w:val="en-US"/>
          <w14:ligatures w14:val="none"/>
        </w:rPr>
        <w:t>Scope 2</w:t>
      </w:r>
      <w:r w:rsidRPr="005418A0">
        <w:rPr>
          <w:rFonts w:ascii="Calibri" w:eastAsia="Calibri" w:hAnsi="Calibri" w:cs="Calibri"/>
          <w:kern w:val="0"/>
          <w:sz w:val="20"/>
          <w:lang w:val="en-US"/>
          <w14:ligatures w14:val="none"/>
        </w:rPr>
        <w:t xml:space="preserve"> (location-based), and </w:t>
      </w:r>
      <w:r w:rsidRPr="005418A0">
        <w:rPr>
          <w:rFonts w:ascii="Calibri" w:eastAsia="Calibri" w:hAnsi="Calibri" w:cs="Calibri"/>
          <w:b/>
          <w:bCs/>
          <w:kern w:val="0"/>
          <w:sz w:val="20"/>
          <w:lang w:val="en-US"/>
          <w14:ligatures w14:val="none"/>
        </w:rPr>
        <w:t>Scope 3</w:t>
      </w:r>
      <w:r w:rsidRPr="005418A0">
        <w:rPr>
          <w:rFonts w:ascii="Calibri" w:eastAsia="Calibri" w:hAnsi="Calibri" w:cs="Calibri"/>
          <w:kern w:val="0"/>
          <w:sz w:val="20"/>
          <w:lang w:val="en-US"/>
          <w14:ligatures w14:val="none"/>
        </w:rPr>
        <w:t xml:space="preserve"> (spanning 15 value chain categories using the GHG Protocol).</w:t>
      </w:r>
    </w:p>
    <w:p w14:paraId="08DA59DF"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Aggregation into \text{CO}_2 equivalent (\text{CO}_2\text{e}) requires global warming potential (GWP) values based on a 100-year time horizon from the IPCC Sixth Assessment Report (AR6).</w:t>
      </w:r>
    </w:p>
    <w:p w14:paraId="3BB66EC4"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AASB S2025-1 Amendments:</w:t>
      </w:r>
      <w:r w:rsidRPr="005418A0">
        <w:rPr>
          <w:rFonts w:ascii="Calibri" w:eastAsia="Calibri" w:hAnsi="Calibri" w:cs="Calibri"/>
          <w:kern w:val="0"/>
          <w:sz w:val="20"/>
          <w:lang w:val="en-US"/>
          <w14:ligatures w14:val="none"/>
        </w:rPr>
        <w:t xml:space="preserve"> Targeted relief permits financial entities (asset managers, commercial banks, insurers) to limit Scope 3 Category 15 disclosures strictly to financed emissions (loans and investments), excluding derivatives and insurance underwriting portfolios.</w:t>
      </w:r>
    </w:p>
    <w:p w14:paraId="60C43C3A" w14:textId="77777777" w:rsidR="005418A0" w:rsidRPr="005418A0" w:rsidRDefault="005418A0" w:rsidP="005418A0">
      <w:pPr>
        <w:numPr>
          <w:ilvl w:val="0"/>
          <w:numId w:val="35"/>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Regulatory Oversight &amp; Implementation:</w:t>
      </w:r>
      <w:r w:rsidRPr="005418A0">
        <w:rPr>
          <w:rFonts w:ascii="Calibri" w:eastAsia="Calibri" w:hAnsi="Calibri" w:cs="Calibri"/>
          <w:kern w:val="0"/>
          <w:sz w:val="20"/>
          <w:lang w:val="en-US"/>
          <w14:ligatures w14:val="none"/>
        </w:rPr>
        <w:t xml:space="preserve"> ASIC enforces compliance under RG 280. Sustainability reports must be lodged within 3 months (for disclosing entities, RSEs, registered schemes) or 4 months (for all other entities) of financial year-end. Mandatory auditing requirements phase in between 1 January 2025 and 30 June 2030.</w:t>
      </w:r>
    </w:p>
    <w:p w14:paraId="634773E8"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17" w:name="statutory-and-regulatory-framework"/>
      <w:bookmarkEnd w:id="15"/>
      <w:bookmarkEnd w:id="16"/>
      <w:r w:rsidRPr="005418A0">
        <w:rPr>
          <w:rFonts w:ascii="Calibri" w:eastAsia="Calibri" w:hAnsi="Calibri" w:cs="Calibri"/>
          <w:bCs/>
          <w:i/>
          <w:color w:val="1F3A5F"/>
          <w:kern w:val="0"/>
          <w:lang w:val="en-US"/>
          <w14:ligatures w14:val="none"/>
        </w:rPr>
        <w:t>Statutory and Regulatory Framework</w:t>
      </w:r>
    </w:p>
    <w:p w14:paraId="47366844"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18" w:name="legislative-foundations"/>
      <w:r w:rsidRPr="005418A0">
        <w:rPr>
          <w:rFonts w:ascii="Calibri" w:eastAsia="Calibri" w:hAnsi="Calibri" w:cs="Calibri"/>
          <w:iCs/>
          <w:color w:val="1F3A5F"/>
          <w:kern w:val="0"/>
          <w:lang w:val="en-US"/>
          <w14:ligatures w14:val="none"/>
        </w:rPr>
        <w:t>Legislative Foundations</w:t>
      </w:r>
    </w:p>
    <w:p w14:paraId="0D4AE28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The Australian Accounting Standards Board (AASB) issued AASB S2 under section 336A of the </w:t>
      </w:r>
      <w:r w:rsidRPr="005418A0">
        <w:rPr>
          <w:rFonts w:ascii="Calibri" w:eastAsia="Calibri" w:hAnsi="Calibri" w:cs="Calibri"/>
          <w:i/>
          <w:iCs/>
          <w:kern w:val="0"/>
          <w:sz w:val="20"/>
          <w:lang w:val="en-US"/>
          <w14:ligatures w14:val="none"/>
        </w:rPr>
        <w:t>Corporations Act 2001</w:t>
      </w:r>
      <w:r w:rsidRPr="005418A0">
        <w:rPr>
          <w:rFonts w:ascii="Calibri" w:eastAsia="Calibri" w:hAnsi="Calibri" w:cs="Calibri"/>
          <w:kern w:val="0"/>
          <w:sz w:val="20"/>
          <w:lang w:val="en-US"/>
          <w14:ligatures w14:val="none"/>
        </w:rPr>
        <w:t xml:space="preserve"> on 20 September 2024. The legislative obligation to disclose climate information is driven by Chapter 2M of the Corporations Act, modified by the </w:t>
      </w:r>
      <w:r w:rsidRPr="005418A0">
        <w:rPr>
          <w:rFonts w:ascii="Calibri" w:eastAsia="Calibri" w:hAnsi="Calibri" w:cs="Calibri"/>
          <w:i/>
          <w:iCs/>
          <w:kern w:val="0"/>
          <w:sz w:val="20"/>
          <w:lang w:val="en-US"/>
          <w14:ligatures w14:val="none"/>
        </w:rPr>
        <w:t>Treasury Laws Amendment (Financial Market Infrastructure and Other Measures) Act 2024</w:t>
      </w:r>
      <w:r w:rsidRPr="005418A0">
        <w:rPr>
          <w:rFonts w:ascii="Calibri" w:eastAsia="Calibri" w:hAnsi="Calibri" w:cs="Calibri"/>
          <w:kern w:val="0"/>
          <w:sz w:val="20"/>
          <w:lang w:val="en-US"/>
          <w14:ligatures w14:val="none"/>
        </w:rPr>
        <w:t>.</w:t>
      </w:r>
    </w:p>
    <w:p w14:paraId="0CE034A0"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104F95B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CORPORATIONS ACT |</w:t>
      </w:r>
    </w:p>
    <w:p w14:paraId="582FAB8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(Chapter 2M) |</w:t>
      </w:r>
    </w:p>
    <w:p w14:paraId="37D350C6"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40CE9EC3"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51AD68B8"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v</w:t>
      </w:r>
    </w:p>
    <w:p w14:paraId="0497386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385CA8C8"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SUSTAINABILITY REPORT COMPONENTS |</w:t>
      </w:r>
    </w:p>
    <w:p w14:paraId="55C3CBC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1. Climate Statements (s296A / s296D or s296B no-material-risk statement) |</w:t>
      </w:r>
    </w:p>
    <w:p w14:paraId="536EA528"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2. Notes to Climate Statements |</w:t>
      </w:r>
    </w:p>
    <w:p w14:paraId="56C2CB05"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3. Directors' Declaration (s296A) |</w:t>
      </w:r>
    </w:p>
    <w:p w14:paraId="09F35058"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565DE50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6B2946E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29927060"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lastRenderedPageBreak/>
        <w:t>| |</w:t>
      </w:r>
    </w:p>
    <w:p w14:paraId="71EDE5F8"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v v</w:t>
      </w:r>
    </w:p>
    <w:p w14:paraId="4E9C45CB"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w:t>
      </w:r>
    </w:p>
    <w:p w14:paraId="5C2E4965"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AASB S2 DISCLOSURES | | ASIC REGULATORY GUIDE |</w:t>
      </w:r>
    </w:p>
    <w:p w14:paraId="76C2A0E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Mandatory Standard made under | | RG 280 |</w:t>
      </w:r>
    </w:p>
    <w:p w14:paraId="23A479E5"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Section 336A | | Supervision, Relief, Oversight |</w:t>
      </w:r>
    </w:p>
    <w:p w14:paraId="77E4F8E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w:t>
      </w:r>
    </w:p>
    <w:p w14:paraId="262E2817"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19" w:name="asic-rg-280-requirements-timelines"/>
      <w:bookmarkEnd w:id="18"/>
      <w:r w:rsidRPr="005418A0">
        <w:rPr>
          <w:rFonts w:ascii="Calibri" w:eastAsia="Calibri" w:hAnsi="Calibri" w:cs="Calibri"/>
          <w:iCs/>
          <w:color w:val="1F3A5F"/>
          <w:kern w:val="0"/>
          <w:lang w:val="en-US"/>
          <w14:ligatures w14:val="none"/>
        </w:rPr>
        <w:t>ASIC RG 280 Requirements &amp; Timelines</w:t>
      </w:r>
    </w:p>
    <w:p w14:paraId="53C4B03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Under ASIC Regulatory Guide 280, an entity required to prepare an annual financial report under Chapter 2M that meets the section 292A sustainability thresholds (a "reporting entity") must lodge its sustainability report as part of its annual reporting suite.</w:t>
      </w:r>
    </w:p>
    <w:tbl>
      <w:tblPr>
        <w:tblStyle w:val="Table"/>
        <w:tblW w:w="4050" w:type="pct"/>
        <w:tblLook w:val="0020" w:firstRow="1" w:lastRow="0" w:firstColumn="0" w:lastColumn="0" w:noHBand="0" w:noVBand="0"/>
      </w:tblPr>
      <w:tblGrid>
        <w:gridCol w:w="2390"/>
        <w:gridCol w:w="2148"/>
        <w:gridCol w:w="3044"/>
      </w:tblGrid>
      <w:tr w:rsidR="005418A0" w:rsidRPr="005418A0" w14:paraId="1711D867" w14:textId="77777777" w:rsidTr="00FA00F8">
        <w:trPr>
          <w:cnfStyle w:val="100000000000" w:firstRow="1" w:lastRow="0" w:firstColumn="0" w:lastColumn="0" w:oddVBand="0" w:evenVBand="0" w:oddHBand="0" w:evenHBand="0" w:firstRowFirstColumn="0" w:firstRowLastColumn="0" w:lastRowFirstColumn="0" w:lastRowLastColumn="0"/>
          <w:tblHeader/>
        </w:trPr>
        <w:tc>
          <w:tcPr>
            <w:tcW w:w="0" w:type="auto"/>
          </w:tcPr>
          <w:p w14:paraId="3BA991EA" w14:textId="77777777" w:rsidR="005418A0" w:rsidRPr="005418A0" w:rsidRDefault="005418A0" w:rsidP="005418A0">
            <w:pPr>
              <w:spacing w:before="36" w:after="36"/>
            </w:pPr>
            <w:r w:rsidRPr="005418A0">
              <w:t>Reporting Entity Class</w:t>
            </w:r>
          </w:p>
        </w:tc>
        <w:tc>
          <w:tcPr>
            <w:tcW w:w="0" w:type="auto"/>
          </w:tcPr>
          <w:p w14:paraId="734F869C" w14:textId="77777777" w:rsidR="005418A0" w:rsidRPr="005418A0" w:rsidRDefault="005418A0" w:rsidP="005418A0">
            <w:pPr>
              <w:spacing w:before="36" w:after="36"/>
            </w:pPr>
            <w:r w:rsidRPr="005418A0">
              <w:t>Lodgement Deadline (s319(3))</w:t>
            </w:r>
          </w:p>
        </w:tc>
        <w:tc>
          <w:tcPr>
            <w:tcW w:w="0" w:type="auto"/>
          </w:tcPr>
          <w:p w14:paraId="4CEC0F40" w14:textId="77777777" w:rsidR="005418A0" w:rsidRPr="005418A0" w:rsidRDefault="005418A0" w:rsidP="005418A0">
            <w:pPr>
              <w:spacing w:before="36" w:after="36"/>
            </w:pPr>
            <w:r w:rsidRPr="005418A0">
              <w:t>Member &amp; AGM Provisions</w:t>
            </w:r>
          </w:p>
        </w:tc>
      </w:tr>
      <w:tr w:rsidR="005418A0" w:rsidRPr="005418A0" w14:paraId="551188E9" w14:textId="77777777" w:rsidTr="00FA00F8">
        <w:tc>
          <w:tcPr>
            <w:tcW w:w="0" w:type="auto"/>
          </w:tcPr>
          <w:p w14:paraId="22A7AC34" w14:textId="77777777" w:rsidR="005418A0" w:rsidRPr="005418A0" w:rsidRDefault="005418A0" w:rsidP="005418A0">
            <w:pPr>
              <w:spacing w:before="36" w:after="36"/>
            </w:pPr>
            <w:r w:rsidRPr="005418A0">
              <w:rPr>
                <w:b/>
                <w:bCs/>
              </w:rPr>
              <w:t>Disclosing Entities, RSEs, Registered Schemes</w:t>
            </w:r>
          </w:p>
        </w:tc>
        <w:tc>
          <w:tcPr>
            <w:tcW w:w="0" w:type="auto"/>
          </w:tcPr>
          <w:p w14:paraId="158616FE" w14:textId="77777777" w:rsidR="005418A0" w:rsidRPr="005418A0" w:rsidRDefault="005418A0" w:rsidP="005418A0">
            <w:pPr>
              <w:spacing w:before="36" w:after="36"/>
            </w:pPr>
            <w:r w:rsidRPr="005418A0">
              <w:t xml:space="preserve">Within </w:t>
            </w:r>
            <w:r w:rsidRPr="005418A0">
              <w:rPr>
                <w:b/>
                <w:bCs/>
              </w:rPr>
              <w:t>3 months</w:t>
            </w:r>
            <w:r w:rsidRPr="005418A0">
              <w:t xml:space="preserve"> after financial year-end</w:t>
            </w:r>
          </w:p>
        </w:tc>
        <w:tc>
          <w:tcPr>
            <w:tcW w:w="0" w:type="auto"/>
          </w:tcPr>
          <w:p w14:paraId="542CC86B" w14:textId="77777777" w:rsidR="005418A0" w:rsidRPr="005418A0" w:rsidRDefault="005418A0" w:rsidP="005418A0">
            <w:pPr>
              <w:spacing w:before="36" w:after="36"/>
            </w:pPr>
            <w:r w:rsidRPr="005418A0">
              <w:t>Must provide reports to members (s314/s314AA).</w:t>
            </w:r>
          </w:p>
        </w:tc>
      </w:tr>
      <w:tr w:rsidR="005418A0" w:rsidRPr="005418A0" w14:paraId="4521966E" w14:textId="77777777" w:rsidTr="00FA00F8">
        <w:tc>
          <w:tcPr>
            <w:tcW w:w="0" w:type="auto"/>
          </w:tcPr>
          <w:p w14:paraId="1CBE3CE5" w14:textId="77777777" w:rsidR="005418A0" w:rsidRPr="005418A0" w:rsidRDefault="005418A0" w:rsidP="005418A0">
            <w:pPr>
              <w:spacing w:before="36" w:after="36"/>
            </w:pPr>
            <w:r w:rsidRPr="005418A0">
              <w:rPr>
                <w:b/>
                <w:bCs/>
              </w:rPr>
              <w:t>All Other Entities (Companies, CCIVs, etc.)</w:t>
            </w:r>
          </w:p>
        </w:tc>
        <w:tc>
          <w:tcPr>
            <w:tcW w:w="0" w:type="auto"/>
          </w:tcPr>
          <w:p w14:paraId="4932E665" w14:textId="77777777" w:rsidR="005418A0" w:rsidRPr="005418A0" w:rsidRDefault="005418A0" w:rsidP="005418A0">
            <w:pPr>
              <w:spacing w:before="36" w:after="36"/>
            </w:pPr>
            <w:r w:rsidRPr="005418A0">
              <w:t xml:space="preserve">Within </w:t>
            </w:r>
            <w:r w:rsidRPr="005418A0">
              <w:rPr>
                <w:b/>
                <w:bCs/>
              </w:rPr>
              <w:t>4 months</w:t>
            </w:r>
            <w:r w:rsidRPr="005418A0">
              <w:t xml:space="preserve"> after financial year-end</w:t>
            </w:r>
          </w:p>
        </w:tc>
        <w:tc>
          <w:tcPr>
            <w:tcW w:w="0" w:type="auto"/>
          </w:tcPr>
          <w:p w14:paraId="40BD9C4A" w14:textId="77777777" w:rsidR="005418A0" w:rsidRPr="005418A0" w:rsidRDefault="005418A0" w:rsidP="005418A0">
            <w:pPr>
              <w:spacing w:before="36" w:after="36"/>
            </w:pPr>
            <w:r w:rsidRPr="005418A0">
              <w:t>Public companies must lay reports before the AGM (s250N(3)).</w:t>
            </w:r>
          </w:p>
        </w:tc>
      </w:tr>
    </w:tbl>
    <w:p w14:paraId="3494C1BE"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i/>
          <w:iCs/>
          <w:kern w:val="0"/>
          <w:sz w:val="20"/>
          <w:lang w:val="en-US"/>
          <w14:ligatures w14:val="none"/>
        </w:rPr>
        <w:t>Audit Requirements:</w:t>
      </w:r>
      <w:r w:rsidRPr="005418A0">
        <w:rPr>
          <w:rFonts w:ascii="Calibri" w:eastAsia="Calibri" w:hAnsi="Calibri" w:cs="Calibri"/>
          <w:kern w:val="0"/>
          <w:sz w:val="20"/>
          <w:lang w:val="en-US"/>
          <w14:ligatures w14:val="none"/>
        </w:rPr>
        <w:t xml:space="preserve"> Sustainability reports must be audited under Division 3 of Part 2M.3 (s301A), with mandatory auditing phased in progressively between 1 January 2025 and 30 June 2030 per the Australian Auditing and Assurance Standards Board (AUASB) timetable.</w:t>
      </w:r>
    </w:p>
    <w:p w14:paraId="49D97050"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20" w:name="in-scope-entities"/>
      <w:bookmarkEnd w:id="19"/>
      <w:r w:rsidRPr="005418A0">
        <w:rPr>
          <w:rFonts w:ascii="Calibri" w:eastAsia="Calibri" w:hAnsi="Calibri" w:cs="Calibri"/>
          <w:iCs/>
          <w:color w:val="1F3A5F"/>
          <w:kern w:val="0"/>
          <w:lang w:val="en-US"/>
          <w14:ligatures w14:val="none"/>
        </w:rPr>
        <w:t>In-Scope Entities</w:t>
      </w:r>
    </w:p>
    <w:p w14:paraId="35B6822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Reporting entities include:</w:t>
      </w:r>
    </w:p>
    <w:p w14:paraId="35AD05BD"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Companies (including registered corporations under the </w:t>
      </w:r>
      <w:r w:rsidRPr="005418A0">
        <w:rPr>
          <w:rFonts w:ascii="Calibri" w:eastAsia="Calibri" w:hAnsi="Calibri" w:cs="Calibri"/>
          <w:i/>
          <w:iCs/>
          <w:kern w:val="0"/>
          <w:sz w:val="20"/>
          <w:lang w:val="en-US"/>
          <w14:ligatures w14:val="none"/>
        </w:rPr>
        <w:t>National Greenhouse and Energy Reporting Act 2007</w:t>
      </w:r>
      <w:r w:rsidRPr="005418A0">
        <w:rPr>
          <w:rFonts w:ascii="Calibri" w:eastAsia="Calibri" w:hAnsi="Calibri" w:cs="Calibri"/>
          <w:kern w:val="0"/>
          <w:sz w:val="20"/>
          <w:lang w:val="en-US"/>
          <w14:ligatures w14:val="none"/>
        </w:rPr>
        <w:t xml:space="preserve"> [NGER Act]).</w:t>
      </w:r>
    </w:p>
    <w:p w14:paraId="49C1F422"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Registered schemes (responsible entities carry performance obligations under s285(3)).</w:t>
      </w:r>
    </w:p>
    <w:p w14:paraId="30BF995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Registrable Superannuation Entities (RSEs) (RSE licensees carry obligations under s285(3A) and s345AAA).</w:t>
      </w:r>
    </w:p>
    <w:p w14:paraId="416A620B"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Retail Corporate Collective Investment Vehicles (CCIVs).</w:t>
      </w:r>
    </w:p>
    <w:p w14:paraId="294005C2"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21" w:name="architecture-aasb-s2-vs.-ifrs-s2"/>
      <w:bookmarkEnd w:id="17"/>
      <w:bookmarkEnd w:id="20"/>
      <w:r w:rsidRPr="005418A0">
        <w:rPr>
          <w:rFonts w:ascii="Calibri" w:eastAsia="Calibri" w:hAnsi="Calibri" w:cs="Calibri"/>
          <w:bCs/>
          <w:i/>
          <w:color w:val="1F3A5F"/>
          <w:kern w:val="0"/>
          <w:lang w:val="en-US"/>
          <w14:ligatures w14:val="none"/>
        </w:rPr>
        <w:t>Architecture: AASB S2 vs. IFRS S2</w:t>
      </w:r>
    </w:p>
    <w:p w14:paraId="18299B13"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AASB S2 is built on the baseline of </w:t>
      </w:r>
      <w:r w:rsidRPr="005418A0">
        <w:rPr>
          <w:rFonts w:ascii="Calibri" w:eastAsia="Calibri" w:hAnsi="Calibri" w:cs="Calibri"/>
          <w:b/>
          <w:bCs/>
          <w:kern w:val="0"/>
          <w:sz w:val="20"/>
          <w:lang w:val="en-US"/>
          <w14:ligatures w14:val="none"/>
        </w:rPr>
        <w:t>IFRS S2 (</w:t>
      </w:r>
      <w:r w:rsidRPr="005418A0">
        <w:rPr>
          <w:rFonts w:ascii="Calibri" w:eastAsia="Calibri" w:hAnsi="Calibri" w:cs="Calibri"/>
          <w:b/>
          <w:bCs/>
          <w:i/>
          <w:iCs/>
          <w:kern w:val="0"/>
          <w:sz w:val="20"/>
          <w:lang w:val="en-US"/>
          <w14:ligatures w14:val="none"/>
        </w:rPr>
        <w:t>Climate-related Disclosures</w:t>
      </w:r>
      <w:r w:rsidRPr="005418A0">
        <w:rPr>
          <w:rFonts w:ascii="Calibri" w:eastAsia="Calibri" w:hAnsi="Calibri" w:cs="Calibri"/>
          <w:b/>
          <w:bCs/>
          <w:kern w:val="0"/>
          <w:sz w:val="20"/>
          <w:lang w:val="en-US"/>
          <w14:ligatures w14:val="none"/>
        </w:rPr>
        <w:t>)</w:t>
      </w:r>
      <w:r w:rsidRPr="005418A0">
        <w:rPr>
          <w:rFonts w:ascii="Calibri" w:eastAsia="Calibri" w:hAnsi="Calibri" w:cs="Calibri"/>
          <w:kern w:val="0"/>
          <w:sz w:val="20"/>
          <w:lang w:val="en-US"/>
          <w14:ligatures w14:val="none"/>
        </w:rPr>
        <w:t xml:space="preserve"> issued by the International Sustainability Standards Board (ISSB). However, the AASB made specific structural and technical modifications to adapt the standard to Australia's legal and institutional environment:</w:t>
      </w:r>
    </w:p>
    <w:tbl>
      <w:tblPr>
        <w:tblStyle w:val="Table"/>
        <w:tblW w:w="4978" w:type="pct"/>
        <w:tblLook w:val="0020" w:firstRow="1" w:lastRow="0" w:firstColumn="0" w:lastColumn="0" w:noHBand="0" w:noVBand="0"/>
      </w:tblPr>
      <w:tblGrid>
        <w:gridCol w:w="2007"/>
        <w:gridCol w:w="2453"/>
        <w:gridCol w:w="2417"/>
        <w:gridCol w:w="2442"/>
      </w:tblGrid>
      <w:tr w:rsidR="005418A0" w:rsidRPr="005418A0" w14:paraId="628844BF" w14:textId="77777777" w:rsidTr="00FA00F8">
        <w:trPr>
          <w:cnfStyle w:val="100000000000" w:firstRow="1" w:lastRow="0" w:firstColumn="0" w:lastColumn="0" w:oddVBand="0" w:evenVBand="0" w:oddHBand="0" w:evenHBand="0" w:firstRowFirstColumn="0" w:firstRowLastColumn="0" w:lastRowFirstColumn="0" w:lastRowLastColumn="0"/>
          <w:tblHeader/>
        </w:trPr>
        <w:tc>
          <w:tcPr>
            <w:tcW w:w="0" w:type="auto"/>
          </w:tcPr>
          <w:p w14:paraId="0F2EF934" w14:textId="77777777" w:rsidR="005418A0" w:rsidRPr="005418A0" w:rsidRDefault="005418A0" w:rsidP="005418A0">
            <w:pPr>
              <w:spacing w:before="36" w:after="36"/>
            </w:pPr>
            <w:r w:rsidRPr="005418A0">
              <w:t>Feature / Dimension</w:t>
            </w:r>
          </w:p>
        </w:tc>
        <w:tc>
          <w:tcPr>
            <w:tcW w:w="0" w:type="auto"/>
          </w:tcPr>
          <w:p w14:paraId="181AF671" w14:textId="77777777" w:rsidR="005418A0" w:rsidRPr="005418A0" w:rsidRDefault="005418A0" w:rsidP="005418A0">
            <w:pPr>
              <w:spacing w:before="36" w:after="36"/>
            </w:pPr>
            <w:r w:rsidRPr="005418A0">
              <w:t>ISSB Baseline (IFRS S2)</w:t>
            </w:r>
          </w:p>
        </w:tc>
        <w:tc>
          <w:tcPr>
            <w:tcW w:w="0" w:type="auto"/>
          </w:tcPr>
          <w:p w14:paraId="5D6D0984" w14:textId="77777777" w:rsidR="005418A0" w:rsidRPr="005418A0" w:rsidRDefault="005418A0" w:rsidP="005418A0">
            <w:pPr>
              <w:spacing w:before="36" w:after="36"/>
            </w:pPr>
            <w:r w:rsidRPr="005418A0">
              <w:t>Australian Standard (AASB S2)</w:t>
            </w:r>
          </w:p>
        </w:tc>
        <w:tc>
          <w:tcPr>
            <w:tcW w:w="0" w:type="auto"/>
          </w:tcPr>
          <w:p w14:paraId="3B12FD32" w14:textId="77777777" w:rsidR="005418A0" w:rsidRPr="005418A0" w:rsidRDefault="005418A0" w:rsidP="005418A0">
            <w:pPr>
              <w:spacing w:before="36" w:after="36"/>
            </w:pPr>
            <w:r w:rsidRPr="005418A0">
              <w:t>Rationale for Modification</w:t>
            </w:r>
          </w:p>
        </w:tc>
      </w:tr>
      <w:tr w:rsidR="005418A0" w:rsidRPr="005418A0" w14:paraId="38E3F054" w14:textId="77777777" w:rsidTr="00FA00F8">
        <w:tc>
          <w:tcPr>
            <w:tcW w:w="0" w:type="auto"/>
          </w:tcPr>
          <w:p w14:paraId="20C24E92" w14:textId="77777777" w:rsidR="005418A0" w:rsidRPr="005418A0" w:rsidRDefault="005418A0" w:rsidP="005418A0">
            <w:pPr>
              <w:spacing w:before="36" w:after="36"/>
            </w:pPr>
            <w:r w:rsidRPr="005418A0">
              <w:rPr>
                <w:b/>
                <w:bCs/>
              </w:rPr>
              <w:t>Framework Interdependency</w:t>
            </w:r>
          </w:p>
        </w:tc>
        <w:tc>
          <w:tcPr>
            <w:tcW w:w="0" w:type="auto"/>
          </w:tcPr>
          <w:p w14:paraId="594D0231" w14:textId="77777777" w:rsidR="005418A0" w:rsidRPr="005418A0" w:rsidRDefault="005418A0" w:rsidP="005418A0">
            <w:pPr>
              <w:spacing w:before="36" w:after="36"/>
            </w:pPr>
            <w:r w:rsidRPr="005418A0">
              <w:t>Mandatory concurrent application with IFRS S1.</w:t>
            </w:r>
          </w:p>
        </w:tc>
        <w:tc>
          <w:tcPr>
            <w:tcW w:w="0" w:type="auto"/>
          </w:tcPr>
          <w:p w14:paraId="7A59F2C1" w14:textId="77777777" w:rsidR="005418A0" w:rsidRPr="005418A0" w:rsidRDefault="005418A0" w:rsidP="005418A0">
            <w:pPr>
              <w:spacing w:before="36" w:after="36"/>
            </w:pPr>
            <w:r w:rsidRPr="005418A0">
              <w:rPr>
                <w:b/>
                <w:bCs/>
              </w:rPr>
              <w:t>Standalone Standard.</w:t>
            </w:r>
            <w:r w:rsidRPr="005418A0">
              <w:t xml:space="preserve"> AASB S1 is voluntary. Relevant general principles are brought </w:t>
            </w:r>
            <w:r w:rsidRPr="005418A0">
              <w:lastRenderedPageBreak/>
              <w:t xml:space="preserve">into AASB S2 via </w:t>
            </w:r>
            <w:r w:rsidRPr="005418A0">
              <w:rPr>
                <w:b/>
                <w:bCs/>
              </w:rPr>
              <w:t>Appendix D</w:t>
            </w:r>
            <w:r w:rsidRPr="005418A0">
              <w:t>.</w:t>
            </w:r>
          </w:p>
        </w:tc>
        <w:tc>
          <w:tcPr>
            <w:tcW w:w="0" w:type="auto"/>
          </w:tcPr>
          <w:p w14:paraId="67C2D7F6" w14:textId="77777777" w:rsidR="005418A0" w:rsidRPr="005418A0" w:rsidRDefault="005418A0" w:rsidP="005418A0">
            <w:pPr>
              <w:spacing w:before="36" w:after="36"/>
            </w:pPr>
            <w:r w:rsidRPr="005418A0">
              <w:lastRenderedPageBreak/>
              <w:t xml:space="preserve">Enables mandatory climate reporting to proceed immediately without forcing broader sustainability </w:t>
            </w:r>
            <w:r w:rsidRPr="005418A0">
              <w:lastRenderedPageBreak/>
              <w:t>disclosure frameworks on Australian entities.</w:t>
            </w:r>
          </w:p>
        </w:tc>
      </w:tr>
      <w:tr w:rsidR="005418A0" w:rsidRPr="005418A0" w14:paraId="5C3F8C75" w14:textId="77777777" w:rsidTr="00FA00F8">
        <w:tc>
          <w:tcPr>
            <w:tcW w:w="0" w:type="auto"/>
          </w:tcPr>
          <w:p w14:paraId="1B8798F0" w14:textId="77777777" w:rsidR="005418A0" w:rsidRPr="005418A0" w:rsidRDefault="005418A0" w:rsidP="005418A0">
            <w:pPr>
              <w:spacing w:before="36" w:after="36"/>
            </w:pPr>
            <w:r w:rsidRPr="005418A0">
              <w:rPr>
                <w:b/>
                <w:bCs/>
              </w:rPr>
              <w:lastRenderedPageBreak/>
              <w:t>Industry-Based Metrics</w:t>
            </w:r>
          </w:p>
        </w:tc>
        <w:tc>
          <w:tcPr>
            <w:tcW w:w="0" w:type="auto"/>
          </w:tcPr>
          <w:p w14:paraId="3C030189" w14:textId="77777777" w:rsidR="005418A0" w:rsidRPr="005418A0" w:rsidRDefault="005418A0" w:rsidP="005418A0">
            <w:pPr>
              <w:spacing w:before="36" w:after="36"/>
            </w:pPr>
            <w:r w:rsidRPr="005418A0">
              <w:t>Mandatory disclosure using SASB / Industry-Based Guidance.</w:t>
            </w:r>
          </w:p>
        </w:tc>
        <w:tc>
          <w:tcPr>
            <w:tcW w:w="0" w:type="auto"/>
          </w:tcPr>
          <w:p w14:paraId="5A5EB025" w14:textId="77777777" w:rsidR="005418A0" w:rsidRPr="005418A0" w:rsidRDefault="005418A0" w:rsidP="005418A0">
            <w:pPr>
              <w:spacing w:before="36" w:after="36"/>
            </w:pPr>
            <w:r w:rsidRPr="005418A0">
              <w:rPr>
                <w:b/>
                <w:bCs/>
              </w:rPr>
              <w:t>Omitted / Exempt.</w:t>
            </w:r>
            <w:r w:rsidRPr="005418A0">
              <w:t xml:space="preserve"> Entities are not required to disclose industry-based metrics (paragraphs 12, 23, 32 deleted).</w:t>
            </w:r>
          </w:p>
        </w:tc>
        <w:tc>
          <w:tcPr>
            <w:tcW w:w="0" w:type="auto"/>
          </w:tcPr>
          <w:p w14:paraId="7D98714D" w14:textId="77777777" w:rsidR="005418A0" w:rsidRPr="005418A0" w:rsidRDefault="005418A0" w:rsidP="005418A0">
            <w:pPr>
              <w:spacing w:before="36" w:after="36"/>
            </w:pPr>
            <w:r w:rsidRPr="005418A0">
              <w:t>Interim relief; AASB plans to develop well-established Australian industry metrics by 2030.</w:t>
            </w:r>
          </w:p>
        </w:tc>
      </w:tr>
      <w:tr w:rsidR="005418A0" w:rsidRPr="005418A0" w14:paraId="33B6960B" w14:textId="77777777" w:rsidTr="00FA00F8">
        <w:tc>
          <w:tcPr>
            <w:tcW w:w="0" w:type="auto"/>
          </w:tcPr>
          <w:p w14:paraId="0CFC5D84" w14:textId="77777777" w:rsidR="005418A0" w:rsidRPr="005418A0" w:rsidRDefault="005418A0" w:rsidP="005418A0">
            <w:pPr>
              <w:spacing w:before="36" w:after="36"/>
            </w:pPr>
            <w:r w:rsidRPr="005418A0">
              <w:rPr>
                <w:b/>
                <w:bCs/>
              </w:rPr>
              <w:t>Consolidated Disclosures</w:t>
            </w:r>
          </w:p>
        </w:tc>
        <w:tc>
          <w:tcPr>
            <w:tcW w:w="0" w:type="auto"/>
          </w:tcPr>
          <w:p w14:paraId="489C51D7" w14:textId="77777777" w:rsidR="005418A0" w:rsidRPr="005418A0" w:rsidRDefault="005418A0" w:rsidP="005418A0">
            <w:pPr>
              <w:spacing w:before="36" w:after="36"/>
            </w:pPr>
            <w:r w:rsidRPr="005418A0">
              <w:t>Mandatory consolidated reporting for parent entities (IFRS S1.20).</w:t>
            </w:r>
          </w:p>
        </w:tc>
        <w:tc>
          <w:tcPr>
            <w:tcW w:w="0" w:type="auto"/>
          </w:tcPr>
          <w:p w14:paraId="2FFC8A7C" w14:textId="77777777" w:rsidR="005418A0" w:rsidRPr="005418A0" w:rsidRDefault="005418A0" w:rsidP="005418A0">
            <w:pPr>
              <w:spacing w:before="36" w:after="36"/>
            </w:pPr>
            <w:r w:rsidRPr="005418A0">
              <w:rPr>
                <w:b/>
                <w:bCs/>
              </w:rPr>
              <w:t>Flexible Reporting Entity.</w:t>
            </w:r>
            <w:r w:rsidRPr="005418A0">
              <w:t xml:space="preserve"> Disclosures must align with financial statements unless permitted by law (e.g., Corporations Act s292A(2) choice between parent or consolidated group).</w:t>
            </w:r>
          </w:p>
        </w:tc>
        <w:tc>
          <w:tcPr>
            <w:tcW w:w="0" w:type="auto"/>
          </w:tcPr>
          <w:p w14:paraId="065987AC" w14:textId="77777777" w:rsidR="005418A0" w:rsidRPr="005418A0" w:rsidRDefault="005418A0" w:rsidP="005418A0">
            <w:pPr>
              <w:spacing w:before="36" w:after="36"/>
            </w:pPr>
            <w:r w:rsidRPr="005418A0">
              <w:t>Aligns standard requirements directly with statutory choices created by Australian legislative amendments.</w:t>
            </w:r>
          </w:p>
        </w:tc>
      </w:tr>
      <w:tr w:rsidR="005418A0" w:rsidRPr="005418A0" w14:paraId="0587B54F" w14:textId="77777777" w:rsidTr="00FA00F8">
        <w:tc>
          <w:tcPr>
            <w:tcW w:w="0" w:type="auto"/>
          </w:tcPr>
          <w:p w14:paraId="7EA7058D" w14:textId="77777777" w:rsidR="005418A0" w:rsidRPr="005418A0" w:rsidRDefault="005418A0" w:rsidP="005418A0">
            <w:pPr>
              <w:spacing w:before="36" w:after="36"/>
            </w:pPr>
            <w:r w:rsidRPr="005418A0">
              <w:rPr>
                <w:b/>
                <w:bCs/>
              </w:rPr>
              <w:t>Not-For-Profit (NFP) Adaptations</w:t>
            </w:r>
          </w:p>
        </w:tc>
        <w:tc>
          <w:tcPr>
            <w:tcW w:w="0" w:type="auto"/>
          </w:tcPr>
          <w:p w14:paraId="688CDF17" w14:textId="77777777" w:rsidR="005418A0" w:rsidRPr="005418A0" w:rsidRDefault="005418A0" w:rsidP="005418A0">
            <w:pPr>
              <w:spacing w:before="36" w:after="36"/>
            </w:pPr>
            <w:r w:rsidRPr="005418A0">
              <w:t>Sector-neutral definitions focused primarily on commercial investors/creditors.</w:t>
            </w:r>
          </w:p>
        </w:tc>
        <w:tc>
          <w:tcPr>
            <w:tcW w:w="0" w:type="auto"/>
          </w:tcPr>
          <w:p w14:paraId="7F5772B5" w14:textId="77777777" w:rsidR="005418A0" w:rsidRPr="005418A0" w:rsidRDefault="005418A0" w:rsidP="005418A0">
            <w:pPr>
              <w:spacing w:before="36" w:after="36"/>
            </w:pPr>
            <w:r w:rsidRPr="005418A0">
              <w:rPr>
                <w:b/>
                <w:bCs/>
              </w:rPr>
              <w:t>Explicit NFP Framing.</w:t>
            </w:r>
            <w:r w:rsidRPr="005418A0">
              <w:t xml:space="preserve"> Appendix A (AusA1) and Appendix D (AusB14.1, AusB15.1) reference the Framework for primary users (parliaments, taxpayers, donors, recipients).</w:t>
            </w:r>
          </w:p>
        </w:tc>
        <w:tc>
          <w:tcPr>
            <w:tcW w:w="0" w:type="auto"/>
          </w:tcPr>
          <w:p w14:paraId="58D88589" w14:textId="77777777" w:rsidR="005418A0" w:rsidRPr="005418A0" w:rsidRDefault="005418A0" w:rsidP="005418A0">
            <w:pPr>
              <w:spacing w:before="36" w:after="36"/>
            </w:pPr>
            <w:r w:rsidRPr="005418A0">
              <w:t>Accommodates public sector and non-profit mandate structures where financial returns are not the primary user focus.</w:t>
            </w:r>
          </w:p>
        </w:tc>
      </w:tr>
    </w:tbl>
    <w:p w14:paraId="424357B0"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22" w:name="core-content-disclosures"/>
      <w:bookmarkEnd w:id="21"/>
      <w:r w:rsidRPr="005418A0">
        <w:rPr>
          <w:rFonts w:ascii="Calibri" w:eastAsia="Calibri" w:hAnsi="Calibri" w:cs="Calibri"/>
          <w:bCs/>
          <w:i/>
          <w:color w:val="1F3A5F"/>
          <w:kern w:val="0"/>
          <w:lang w:val="en-US"/>
          <w14:ligatures w14:val="none"/>
        </w:rPr>
        <w:t>Core Content Disclosures</w:t>
      </w:r>
    </w:p>
    <w:p w14:paraId="2C87D96C"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23" w:name="governance-paragraphs-57"/>
      <w:r w:rsidRPr="005418A0">
        <w:rPr>
          <w:rFonts w:ascii="Calibri" w:eastAsia="Calibri" w:hAnsi="Calibri" w:cs="Calibri"/>
          <w:iCs/>
          <w:color w:val="1F3A5F"/>
          <w:kern w:val="0"/>
          <w:lang w:val="en-US"/>
          <w14:ligatures w14:val="none"/>
        </w:rPr>
        <w:t>1. Governance (Paragraphs 5–7)</w:t>
      </w:r>
    </w:p>
    <w:p w14:paraId="72ACDFF2"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Entities must enable users to understand the governance processes, controls, and procedures used to monitor, manage, and oversee climate-related risks and opportunities.</w:t>
      </w:r>
    </w:p>
    <w:p w14:paraId="6D182D5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Governance Bodies / Individuals:</w:t>
      </w:r>
      <w:r w:rsidRPr="005418A0">
        <w:rPr>
          <w:rFonts w:ascii="Calibri" w:eastAsia="Calibri" w:hAnsi="Calibri" w:cs="Calibri"/>
          <w:kern w:val="0"/>
          <w:sz w:val="20"/>
          <w:lang w:val="en-US"/>
          <w14:ligatures w14:val="none"/>
        </w:rPr>
        <w:t xml:space="preserve"> Must identify responsible bodies/individuals and detail:</w:t>
      </w:r>
    </w:p>
    <w:p w14:paraId="53904822"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How responsibilities are reflected in terms of reference, mandates, and role descriptions.</w:t>
      </w:r>
    </w:p>
    <w:p w14:paraId="612C1EFC"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How skills and competencies are evaluated or developed.</w:t>
      </w:r>
    </w:p>
    <w:p w14:paraId="74AD9331"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Frequency and mechanisms of climate updates.</w:t>
      </w:r>
    </w:p>
    <w:p w14:paraId="41F4C359"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Integration into strategic decisions, major transactions, risk management policies, and trade-off considerations.</w:t>
      </w:r>
    </w:p>
    <w:p w14:paraId="65F7139B"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Target setting oversight and executive remuneration links (paragraph 29(g)).</w:t>
      </w:r>
    </w:p>
    <w:p w14:paraId="52B81F30"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lastRenderedPageBreak/>
        <w:t>Management’s Role:</w:t>
      </w:r>
      <w:r w:rsidRPr="005418A0">
        <w:rPr>
          <w:rFonts w:ascii="Calibri" w:eastAsia="Calibri" w:hAnsi="Calibri" w:cs="Calibri"/>
          <w:kern w:val="0"/>
          <w:sz w:val="20"/>
          <w:lang w:val="en-US"/>
          <w14:ligatures w14:val="none"/>
        </w:rPr>
        <w:t xml:space="preserve"> Must detail delegated positions/committees, oversight mechanisms, and internal control integration.</w:t>
      </w:r>
    </w:p>
    <w:p w14:paraId="7C915444"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Integrated Reporting:</w:t>
      </w:r>
      <w:r w:rsidRPr="005418A0">
        <w:rPr>
          <w:rFonts w:ascii="Calibri" w:eastAsia="Calibri" w:hAnsi="Calibri" w:cs="Calibri"/>
          <w:kern w:val="0"/>
          <w:sz w:val="20"/>
          <w:lang w:val="en-US"/>
          <w14:ligatures w14:val="none"/>
        </w:rPr>
        <w:t xml:space="preserve"> Entities managing broader sustainability risks on an integrated basis must provide integrated governance disclosures to avoid unnecessary duplication (paragraph 7, Aus7.1).</w:t>
      </w:r>
    </w:p>
    <w:p w14:paraId="6E5AC11E"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24" w:name="strategy-paragraphs-823"/>
      <w:bookmarkEnd w:id="23"/>
      <w:r w:rsidRPr="005418A0">
        <w:rPr>
          <w:rFonts w:ascii="Calibri" w:eastAsia="Calibri" w:hAnsi="Calibri" w:cs="Calibri"/>
          <w:iCs/>
          <w:color w:val="1F3A5F"/>
          <w:kern w:val="0"/>
          <w:lang w:val="en-US"/>
          <w14:ligatures w14:val="none"/>
        </w:rPr>
        <w:t>2. Strategy (Paragraphs 8–23)</w:t>
      </w:r>
    </w:p>
    <w:p w14:paraId="2AAF84E0"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Entities must disclose their strategy for managing climate-related risks and opportunities.</w:t>
      </w:r>
    </w:p>
    <w:p w14:paraId="2A894B49"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CLIMATE STRATEGY ANALYSIS</w:t>
      </w:r>
    </w:p>
    <w:p w14:paraId="7019F50D"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2EDAE32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1E48B9D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w:t>
      </w:r>
    </w:p>
    <w:p w14:paraId="670D435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v v</w:t>
      </w:r>
    </w:p>
    <w:p w14:paraId="02DC63B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RISK &amp; OPPORTUNITY IDENTIFICATION IMPACT &amp; RESILIENCE EVALUATION</w:t>
      </w:r>
    </w:p>
    <w:p w14:paraId="5BE9ABB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Categorize Physical Risks (Acute/Chronic) * Business Model &amp; Value Chain Concentrations</w:t>
      </w:r>
    </w:p>
    <w:p w14:paraId="2E6E1FB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Categorize Transition Risks * Transition Plans &amp; Resource Allocation</w:t>
      </w:r>
    </w:p>
    <w:p w14:paraId="51C4A1B3"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Specify Time Horizons (Short, Medium, Long) * Current &amp; Anticipated Financial Effects</w:t>
      </w:r>
    </w:p>
    <w:p w14:paraId="7F7C3C85"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Apply "Reasonable &amp; Supportable Information" * Multi-Year Climate Scenario Analysis</w:t>
      </w:r>
    </w:p>
    <w:p w14:paraId="5C2ABB1E"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Risk &amp; Opportunity Identification:</w:t>
      </w:r>
      <w:r w:rsidRPr="005418A0">
        <w:rPr>
          <w:rFonts w:ascii="Calibri" w:eastAsia="Calibri" w:hAnsi="Calibri" w:cs="Calibri"/>
          <w:kern w:val="0"/>
          <w:sz w:val="20"/>
          <w:lang w:val="en-US"/>
          <w14:ligatures w14:val="none"/>
        </w:rPr>
        <w:t xml:space="preserve"> Disclose physical risks (acute weather events; chronic shifts in climate/water availability) and transition risks (policy, legal, tech, market, reputational). Define short-, medium-, and long-term horizons, linking them to strategic planning horizons.</w:t>
      </w:r>
    </w:p>
    <w:p w14:paraId="6E59510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Business Model &amp; Value Chain:</w:t>
      </w:r>
      <w:r w:rsidRPr="005418A0">
        <w:rPr>
          <w:rFonts w:ascii="Calibri" w:eastAsia="Calibri" w:hAnsi="Calibri" w:cs="Calibri"/>
          <w:kern w:val="0"/>
          <w:sz w:val="20"/>
          <w:lang w:val="en-US"/>
          <w14:ligatures w14:val="none"/>
        </w:rPr>
        <w:t xml:space="preserve"> Describe current/anticipated effects across the value chain and identify geographic, facility, or asset concentrations.</w:t>
      </w:r>
    </w:p>
    <w:p w14:paraId="73865F4B"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Decision-Making &amp; Transition Plans:</w:t>
      </w:r>
      <w:r w:rsidRPr="005418A0">
        <w:rPr>
          <w:rFonts w:ascii="Calibri" w:eastAsia="Calibri" w:hAnsi="Calibri" w:cs="Calibri"/>
          <w:kern w:val="0"/>
          <w:sz w:val="20"/>
          <w:lang w:val="en-US"/>
          <w14:ligatures w14:val="none"/>
        </w:rPr>
        <w:t xml:space="preserve"> Disclose direct adaptation/mitigation efforts (facility relocation, equipment changes), indirect efforts (customer/supplier engagement), resourcing, progress against prior plans, and key assumptions/dependencies in climate transition plans.</w:t>
      </w:r>
    </w:p>
    <w:p w14:paraId="0502B3B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Financial Effects:</w:t>
      </w:r>
      <w:r w:rsidRPr="005418A0">
        <w:rPr>
          <w:rFonts w:ascii="Calibri" w:eastAsia="Calibri" w:hAnsi="Calibri" w:cs="Calibri"/>
          <w:kern w:val="0"/>
          <w:sz w:val="20"/>
          <w:lang w:val="en-US"/>
          <w14:ligatures w14:val="none"/>
        </w:rPr>
        <w:t xml:space="preserve"> Quantitative and qualitative disclosures of current financial impacts (financial position, performance, cash flows) and anticipated short/medium/long-term effects.</w:t>
      </w:r>
    </w:p>
    <w:p w14:paraId="53B52382" w14:textId="77777777" w:rsidR="005418A0" w:rsidRPr="005418A0" w:rsidRDefault="005418A0" w:rsidP="005418A0">
      <w:pPr>
        <w:numPr>
          <w:ilvl w:val="1"/>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i/>
          <w:iCs/>
          <w:kern w:val="0"/>
          <w:lang w:val="en-US"/>
          <w14:ligatures w14:val="none"/>
        </w:rPr>
        <w:t>Quantitative Relief:</w:t>
      </w:r>
      <w:r w:rsidRPr="005418A0">
        <w:rPr>
          <w:rFonts w:ascii="Calibri" w:eastAsia="Calibri" w:hAnsi="Calibri" w:cs="Calibri"/>
          <w:kern w:val="0"/>
          <w:lang w:val="en-US"/>
          <w14:ligatures w14:val="none"/>
        </w:rPr>
        <w:t xml:space="preserve"> Quantitative disclosure is not required if effects are not separately identifiable, measurement uncertainty is excessively high, or the entity lacks necessary skills/resources/capabilities (paragraphs 19–20). Qualitative explanations and affected financial statement line items must then be provided (paragraph 21).</w:t>
      </w:r>
    </w:p>
    <w:p w14:paraId="67201C9F"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Climate Resilience &amp; Scenario Analysis:</w:t>
      </w:r>
      <w:r w:rsidRPr="005418A0">
        <w:rPr>
          <w:rFonts w:ascii="Calibri" w:eastAsia="Calibri" w:hAnsi="Calibri" w:cs="Calibri"/>
          <w:kern w:val="0"/>
          <w:sz w:val="20"/>
          <w:lang w:val="en-US"/>
          <w14:ligatures w14:val="none"/>
        </w:rPr>
        <w:t xml:space="preserve"> Assess resilience using climate scenario analysis commensurate with entity circumstances (exposure and available resources/skills).</w:t>
      </w:r>
    </w:p>
    <w:p w14:paraId="55F6FD44"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i/>
          <w:iCs/>
          <w:kern w:val="0"/>
          <w:sz w:val="20"/>
          <w:lang w:val="en-US"/>
          <w14:ligatures w14:val="none"/>
        </w:rPr>
        <w:t>Scenario Analysis Execution:</w:t>
      </w:r>
      <w:r w:rsidRPr="005418A0">
        <w:rPr>
          <w:rFonts w:ascii="Calibri" w:eastAsia="Calibri" w:hAnsi="Calibri" w:cs="Calibri"/>
          <w:kern w:val="0"/>
          <w:sz w:val="20"/>
          <w:lang w:val="en-US"/>
          <w14:ligatures w14:val="none"/>
        </w:rPr>
        <w:t xml:space="preserve"> Scenarios must be relevant (e.g., Paris Agreement alignment, regional/local climate projections).</w:t>
      </w:r>
    </w:p>
    <w:p w14:paraId="7F5EFD0E"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i/>
          <w:iCs/>
          <w:kern w:val="0"/>
          <w:sz w:val="20"/>
          <w:lang w:val="en-US"/>
          <w14:ligatures w14:val="none"/>
        </w:rPr>
        <w:t>Update Cadence:</w:t>
      </w:r>
      <w:r w:rsidRPr="005418A0">
        <w:rPr>
          <w:rFonts w:ascii="Calibri" w:eastAsia="Calibri" w:hAnsi="Calibri" w:cs="Calibri"/>
          <w:kern w:val="0"/>
          <w:sz w:val="20"/>
          <w:lang w:val="en-US"/>
          <w14:ligatures w14:val="none"/>
        </w:rPr>
        <w:t xml:space="preserve"> Scenario analysis must be updated at least in line with multi-year strategic planning cycles (e.g., every 3 to 5 years), but the resilience assessment itself must be updated </w:t>
      </w:r>
      <w:r w:rsidRPr="005418A0">
        <w:rPr>
          <w:rFonts w:ascii="Calibri" w:eastAsia="Calibri" w:hAnsi="Calibri" w:cs="Calibri"/>
          <w:b/>
          <w:bCs/>
          <w:kern w:val="0"/>
          <w:sz w:val="20"/>
          <w:lang w:val="en-US"/>
          <w14:ligatures w14:val="none"/>
        </w:rPr>
        <w:t>annually</w:t>
      </w:r>
      <w:r w:rsidRPr="005418A0">
        <w:rPr>
          <w:rFonts w:ascii="Calibri" w:eastAsia="Calibri" w:hAnsi="Calibri" w:cs="Calibri"/>
          <w:kern w:val="0"/>
          <w:sz w:val="20"/>
          <w:lang w:val="en-US"/>
          <w14:ligatures w14:val="none"/>
        </w:rPr>
        <w:t xml:space="preserve"> (paragraph B18).</w:t>
      </w:r>
    </w:p>
    <w:p w14:paraId="7A1EFCBE"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i/>
          <w:iCs/>
          <w:kern w:val="0"/>
          <w:sz w:val="20"/>
          <w:lang w:val="en-US"/>
          <w14:ligatures w14:val="none"/>
        </w:rPr>
        <w:t>Legislative Thresholds:</w:t>
      </w:r>
      <w:r w:rsidRPr="005418A0">
        <w:rPr>
          <w:rFonts w:ascii="Calibri" w:eastAsia="Calibri" w:hAnsi="Calibri" w:cs="Calibri"/>
          <w:kern w:val="0"/>
          <w:sz w:val="20"/>
          <w:lang w:val="en-US"/>
          <w14:ligatures w14:val="none"/>
        </w:rPr>
        <w:t xml:space="preserve"> Under Corporations Act s296D(2B), scenario analysis must evaluate at least two scenarios: a low-warming scenario limiting temperature rise to 1.5°C, and a high-warming scenario well exceeding 2°C (e.g., 2.5°C or higher).</w:t>
      </w:r>
    </w:p>
    <w:p w14:paraId="11D2EC34"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25" w:name="risk-management-paragraphs-2426"/>
      <w:bookmarkEnd w:id="24"/>
      <w:r w:rsidRPr="005418A0">
        <w:rPr>
          <w:rFonts w:ascii="Calibri" w:eastAsia="Calibri" w:hAnsi="Calibri" w:cs="Calibri"/>
          <w:iCs/>
          <w:color w:val="1F3A5F"/>
          <w:kern w:val="0"/>
          <w:lang w:val="en-US"/>
          <w14:ligatures w14:val="none"/>
        </w:rPr>
        <w:lastRenderedPageBreak/>
        <w:t>3. Risk Management (Paragraphs 24–26)</w:t>
      </w:r>
    </w:p>
    <w:p w14:paraId="63BC3F03"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Disclose processes used to identify, assess, prioritize, and monitor climate-related risks and opportunities, detailing:</w:t>
      </w:r>
    </w:p>
    <w:p w14:paraId="47CA31CD"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Inputs, data sources, and operational scope.</w:t>
      </w:r>
    </w:p>
    <w:p w14:paraId="32E56BE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How scenario analysis informs risk identification.</w:t>
      </w:r>
    </w:p>
    <w:p w14:paraId="26693C02"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Assessment criteria (qualitative factors, quantitative thresholds).</w:t>
      </w:r>
    </w:p>
    <w:p w14:paraId="2E2FF052"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Prioritization relative to non-climate risks.</w:t>
      </w:r>
    </w:p>
    <w:p w14:paraId="00233A3B"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Process modifications relative to prior reporting periods.</w:t>
      </w:r>
    </w:p>
    <w:p w14:paraId="627DA500"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Integration into the overall enterprise risk management framework.</w:t>
      </w:r>
    </w:p>
    <w:p w14:paraId="092FDA5B"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26" w:name="metrics-and-targets-paragraphs-2736"/>
      <w:bookmarkEnd w:id="25"/>
      <w:r w:rsidRPr="005418A0">
        <w:rPr>
          <w:rFonts w:ascii="Calibri" w:eastAsia="Calibri" w:hAnsi="Calibri" w:cs="Calibri"/>
          <w:iCs/>
          <w:color w:val="1F3A5F"/>
          <w:kern w:val="0"/>
          <w:lang w:val="en-US"/>
          <w14:ligatures w14:val="none"/>
        </w:rPr>
        <w:t>4. Metrics and Targets (Paragraphs 27–36)</w:t>
      </w:r>
    </w:p>
    <w:p w14:paraId="0BD87F66" w14:textId="77777777" w:rsidR="005418A0" w:rsidRPr="005418A0" w:rsidRDefault="005418A0" w:rsidP="005418A0">
      <w:pPr>
        <w:keepNext/>
        <w:keepLines/>
        <w:spacing w:before="200" w:after="0" w:line="240" w:lineRule="auto"/>
        <w:outlineLvl w:val="5"/>
        <w:rPr>
          <w:rFonts w:ascii="Calibri" w:eastAsia="Calibri" w:hAnsi="Calibri" w:cs="Calibri"/>
          <w:color w:val="1F3A5F"/>
          <w:kern w:val="0"/>
          <w:lang w:val="en-US"/>
          <w14:ligatures w14:val="none"/>
        </w:rPr>
      </w:pPr>
      <w:bookmarkStart w:id="27" w:name="Xaf640544110288810495150429b3af758668818"/>
      <w:r w:rsidRPr="005418A0">
        <w:rPr>
          <w:rFonts w:ascii="Calibri" w:eastAsia="Calibri" w:hAnsi="Calibri" w:cs="Calibri"/>
          <w:color w:val="1F3A5F"/>
          <w:kern w:val="0"/>
          <w:lang w:val="en-US"/>
          <w14:ligatures w14:val="none"/>
        </w:rPr>
        <w:t>Cross-Industry Metric Categories (Paragraph 29)</w:t>
      </w:r>
    </w:p>
    <w:p w14:paraId="0B9C1139" w14:textId="77777777" w:rsidR="005418A0" w:rsidRPr="005418A0" w:rsidRDefault="005418A0" w:rsidP="005418A0">
      <w:pPr>
        <w:numPr>
          <w:ilvl w:val="0"/>
          <w:numId w:val="36"/>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Greenhouse Gas Emissions:</w:t>
      </w:r>
      <w:r w:rsidRPr="005418A0">
        <w:rPr>
          <w:rFonts w:ascii="Calibri" w:eastAsia="Calibri" w:hAnsi="Calibri" w:cs="Calibri"/>
          <w:kern w:val="0"/>
          <w:sz w:val="20"/>
          <w:lang w:val="en-US"/>
          <w14:ligatures w14:val="none"/>
        </w:rPr>
        <w:t xml:space="preserve"> Absolute gross Scope 1, Scope 2, and Scope 3 emissions in metric tonnes of \text{CO}_2\text{e}.</w:t>
      </w:r>
    </w:p>
    <w:p w14:paraId="7D4D6EC7" w14:textId="77777777" w:rsidR="005418A0" w:rsidRPr="005418A0" w:rsidRDefault="005418A0" w:rsidP="005418A0">
      <w:pPr>
        <w:numPr>
          <w:ilvl w:val="0"/>
          <w:numId w:val="36"/>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Transition Risks:</w:t>
      </w:r>
      <w:r w:rsidRPr="005418A0">
        <w:rPr>
          <w:rFonts w:ascii="Calibri" w:eastAsia="Calibri" w:hAnsi="Calibri" w:cs="Calibri"/>
          <w:kern w:val="0"/>
          <w:sz w:val="20"/>
          <w:lang w:val="en-US"/>
          <w14:ligatures w14:val="none"/>
        </w:rPr>
        <w:t xml:space="preserve"> Amount and percentage of assets/activities vulnerable to transition risks.</w:t>
      </w:r>
    </w:p>
    <w:p w14:paraId="1E9FB58A" w14:textId="77777777" w:rsidR="005418A0" w:rsidRPr="005418A0" w:rsidRDefault="005418A0" w:rsidP="005418A0">
      <w:pPr>
        <w:numPr>
          <w:ilvl w:val="0"/>
          <w:numId w:val="36"/>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Physical Risks:</w:t>
      </w:r>
      <w:r w:rsidRPr="005418A0">
        <w:rPr>
          <w:rFonts w:ascii="Calibri" w:eastAsia="Calibri" w:hAnsi="Calibri" w:cs="Calibri"/>
          <w:kern w:val="0"/>
          <w:sz w:val="20"/>
          <w:lang w:val="en-US"/>
          <w14:ligatures w14:val="none"/>
        </w:rPr>
        <w:t xml:space="preserve"> Amount and percentage of assets/activities vulnerable to physical risks.</w:t>
      </w:r>
    </w:p>
    <w:p w14:paraId="70044287" w14:textId="77777777" w:rsidR="005418A0" w:rsidRPr="005418A0" w:rsidRDefault="005418A0" w:rsidP="005418A0">
      <w:pPr>
        <w:numPr>
          <w:ilvl w:val="0"/>
          <w:numId w:val="36"/>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Climate Opportunities:</w:t>
      </w:r>
      <w:r w:rsidRPr="005418A0">
        <w:rPr>
          <w:rFonts w:ascii="Calibri" w:eastAsia="Calibri" w:hAnsi="Calibri" w:cs="Calibri"/>
          <w:kern w:val="0"/>
          <w:sz w:val="20"/>
          <w:lang w:val="en-US"/>
          <w14:ligatures w14:val="none"/>
        </w:rPr>
        <w:t xml:space="preserve"> Amount and percentage of assets/activities aligned with climate opportunities.</w:t>
      </w:r>
    </w:p>
    <w:p w14:paraId="6E791540" w14:textId="77777777" w:rsidR="005418A0" w:rsidRPr="005418A0" w:rsidRDefault="005418A0" w:rsidP="005418A0">
      <w:pPr>
        <w:numPr>
          <w:ilvl w:val="0"/>
          <w:numId w:val="36"/>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Capital Deployment:</w:t>
      </w:r>
      <w:r w:rsidRPr="005418A0">
        <w:rPr>
          <w:rFonts w:ascii="Calibri" w:eastAsia="Calibri" w:hAnsi="Calibri" w:cs="Calibri"/>
          <w:kern w:val="0"/>
          <w:sz w:val="20"/>
          <w:lang w:val="en-US"/>
          <w14:ligatures w14:val="none"/>
        </w:rPr>
        <w:t xml:space="preserve"> Capital expenditure, financing, or investment deployed toward climate risks/opportunities.</w:t>
      </w:r>
    </w:p>
    <w:p w14:paraId="36311AC8" w14:textId="77777777" w:rsidR="005418A0" w:rsidRPr="005418A0" w:rsidRDefault="005418A0" w:rsidP="005418A0">
      <w:pPr>
        <w:numPr>
          <w:ilvl w:val="0"/>
          <w:numId w:val="36"/>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Internal Carbon Pricing:</w:t>
      </w:r>
      <w:r w:rsidRPr="005418A0">
        <w:rPr>
          <w:rFonts w:ascii="Calibri" w:eastAsia="Calibri" w:hAnsi="Calibri" w:cs="Calibri"/>
          <w:kern w:val="0"/>
          <w:sz w:val="20"/>
          <w:lang w:val="en-US"/>
          <w14:ligatures w14:val="none"/>
        </w:rPr>
        <w:t xml:space="preserve"> Explanation of application (shadow price vs. internal tax/fee) and price per metric tonne of \text{CO}_2\text{e}.</w:t>
      </w:r>
    </w:p>
    <w:p w14:paraId="14DD3F1A" w14:textId="77777777" w:rsidR="005418A0" w:rsidRPr="005418A0" w:rsidRDefault="005418A0" w:rsidP="005418A0">
      <w:pPr>
        <w:numPr>
          <w:ilvl w:val="0"/>
          <w:numId w:val="36"/>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Remuneration:</w:t>
      </w:r>
      <w:r w:rsidRPr="005418A0">
        <w:rPr>
          <w:rFonts w:ascii="Calibri" w:eastAsia="Calibri" w:hAnsi="Calibri" w:cs="Calibri"/>
          <w:kern w:val="0"/>
          <w:sz w:val="20"/>
          <w:lang w:val="en-US"/>
          <w14:ligatures w14:val="none"/>
        </w:rPr>
        <w:t xml:space="preserve"> Description of executive compensation integration and percentage of executive remuneration linked to climate considerations in the current period.</w:t>
      </w:r>
    </w:p>
    <w:p w14:paraId="06CA9720" w14:textId="77777777" w:rsidR="005418A0" w:rsidRPr="005418A0" w:rsidRDefault="005418A0" w:rsidP="005418A0">
      <w:pPr>
        <w:keepNext/>
        <w:keepLines/>
        <w:spacing w:before="200" w:after="0" w:line="240" w:lineRule="auto"/>
        <w:outlineLvl w:val="5"/>
        <w:rPr>
          <w:rFonts w:ascii="Calibri" w:eastAsia="Calibri" w:hAnsi="Calibri" w:cs="Calibri"/>
          <w:color w:val="1F3A5F"/>
          <w:kern w:val="0"/>
          <w:lang w:val="en-US"/>
          <w14:ligatures w14:val="none"/>
        </w:rPr>
      </w:pPr>
      <w:bookmarkStart w:id="28" w:name="climate-related-targets-paragraphs-3336"/>
      <w:bookmarkEnd w:id="27"/>
      <w:r w:rsidRPr="005418A0">
        <w:rPr>
          <w:rFonts w:ascii="Calibri" w:eastAsia="Calibri" w:hAnsi="Calibri" w:cs="Calibri"/>
          <w:color w:val="1F3A5F"/>
          <w:kern w:val="0"/>
          <w:lang w:val="en-US"/>
          <w14:ligatures w14:val="none"/>
        </w:rPr>
        <w:t>Climate-Related Targets (Paragraphs 33–36)</w:t>
      </w:r>
    </w:p>
    <w:p w14:paraId="25144F77"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Disclose quantitative/qualitative targets set by the entity or mandated by law:</w:t>
      </w:r>
    </w:p>
    <w:p w14:paraId="17393B7C"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Baseline, target period, interim milestones, absolute vs. intensity metrics.</w:t>
      </w:r>
    </w:p>
    <w:p w14:paraId="09ABC0D1"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Alignment with the latest international climate agreements (Paris Agreement).</w:t>
      </w:r>
    </w:p>
    <w:p w14:paraId="1D10D151"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Third-party validation, review processes, and performance analysis.</w:t>
      </w:r>
    </w:p>
    <w:p w14:paraId="293ADD8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GHG Targets:</w:t>
      </w:r>
      <w:r w:rsidRPr="005418A0">
        <w:rPr>
          <w:rFonts w:ascii="Calibri" w:eastAsia="Calibri" w:hAnsi="Calibri" w:cs="Calibri"/>
          <w:kern w:val="0"/>
          <w:sz w:val="20"/>
          <w:lang w:val="en-US"/>
          <w14:ligatures w14:val="none"/>
        </w:rPr>
        <w:t xml:space="preserve"> Coverage (Scope 1/2/3, gas coverage), gross vs. net targets (gross targets must be disclosed alongside net targets).</w:t>
      </w:r>
    </w:p>
    <w:p w14:paraId="52515A5C"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Carbon Credits:</w:t>
      </w:r>
      <w:r w:rsidRPr="005418A0">
        <w:rPr>
          <w:rFonts w:ascii="Calibri" w:eastAsia="Calibri" w:hAnsi="Calibri" w:cs="Calibri"/>
          <w:kern w:val="0"/>
          <w:sz w:val="20"/>
          <w:lang w:val="en-US"/>
          <w14:ligatures w14:val="none"/>
        </w:rPr>
        <w:t xml:space="preserve"> If relying on carbon credits for net targets, disclose planned usage, underlying offset mechanism (nature-based vs. technological removal; reduction vs. removal), third-party verification schemes, and permanence assumptions.</w:t>
      </w:r>
    </w:p>
    <w:p w14:paraId="16045EDB"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29" w:name="technical-ghg-measurement-standards"/>
      <w:bookmarkEnd w:id="22"/>
      <w:bookmarkEnd w:id="26"/>
      <w:bookmarkEnd w:id="28"/>
      <w:r w:rsidRPr="005418A0">
        <w:rPr>
          <w:rFonts w:ascii="Calibri" w:eastAsia="Calibri" w:hAnsi="Calibri" w:cs="Calibri"/>
          <w:bCs/>
          <w:i/>
          <w:color w:val="1F3A5F"/>
          <w:kern w:val="0"/>
          <w:lang w:val="en-US"/>
          <w14:ligatures w14:val="none"/>
        </w:rPr>
        <w:t>Technical GHG Measurement Standards</w:t>
      </w:r>
    </w:p>
    <w:p w14:paraId="40B7AC75"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30" w:name="X980b6741e63b433b53cd7489b7ce00ab5e4ee72"/>
      <w:r w:rsidRPr="005418A0">
        <w:rPr>
          <w:rFonts w:ascii="Calibri" w:eastAsia="Calibri" w:hAnsi="Calibri" w:cs="Calibri"/>
          <w:iCs/>
          <w:color w:val="1F3A5F"/>
          <w:kern w:val="0"/>
          <w:lang w:val="en-US"/>
          <w14:ligatures w14:val="none"/>
        </w:rPr>
        <w:t>GHG Protocol Alignment &amp; Measurement Hierarchy</w:t>
      </w:r>
    </w:p>
    <w:p w14:paraId="615FE77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Entities must measure GHG emissions using the </w:t>
      </w:r>
      <w:r w:rsidRPr="005418A0">
        <w:rPr>
          <w:rFonts w:ascii="Calibri" w:eastAsia="Calibri" w:hAnsi="Calibri" w:cs="Calibri"/>
          <w:i/>
          <w:iCs/>
          <w:kern w:val="0"/>
          <w:sz w:val="20"/>
          <w:lang w:val="en-US"/>
          <w14:ligatures w14:val="none"/>
        </w:rPr>
        <w:t>Greenhouse Gas Protocol: A Corporate Accounting and Reporting Standard (2004)</w:t>
      </w:r>
      <w:r w:rsidRPr="005418A0">
        <w:rPr>
          <w:rFonts w:ascii="Calibri" w:eastAsia="Calibri" w:hAnsi="Calibri" w:cs="Calibri"/>
          <w:kern w:val="0"/>
          <w:sz w:val="20"/>
          <w:lang w:val="en-US"/>
          <w14:ligatures w14:val="none"/>
        </w:rPr>
        <w:t xml:space="preserve"> unless required by a jurisdictional authority or listed exchange to use a different method (paragraph 29(a)(ii), B24).</w:t>
      </w:r>
    </w:p>
    <w:p w14:paraId="374057DD"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GHG MEASUREMENT HIERARCHY</w:t>
      </w:r>
    </w:p>
    <w:p w14:paraId="3A778EA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17A78C0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11B4DF90"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lastRenderedPageBreak/>
        <w:t>| |</w:t>
      </w:r>
    </w:p>
    <w:p w14:paraId="62F14F0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v v</w:t>
      </w:r>
    </w:p>
    <w:p w14:paraId="5E72D1AE"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STANDARD PATHWAY JURISDICTIONAL RELIEF PATHWAY</w:t>
      </w:r>
    </w:p>
    <w:p w14:paraId="75E2FB3D"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Apply GHG Protocol (2004) Jurisdictional / Exchange Mandate</w:t>
      </w:r>
    </w:p>
    <w:p w14:paraId="1FCD5D1B"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Scope 1, 2, and 3 coverage * e.g., NGER Scheme Legislation</w:t>
      </w:r>
    </w:p>
    <w:p w14:paraId="247997B9"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Equity Share or Control Approach * Permitted for applicable entity segment</w:t>
      </w:r>
    </w:p>
    <w:p w14:paraId="67BE4F8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Emission factors best representing activity * Must still disclose total Scope 1, 2, 3</w:t>
      </w:r>
    </w:p>
    <w:p w14:paraId="0AFEA8AC" w14:textId="77777777" w:rsidR="005418A0" w:rsidRPr="005418A0" w:rsidRDefault="005418A0" w:rsidP="005418A0">
      <w:pPr>
        <w:numPr>
          <w:ilvl w:val="0"/>
          <w:numId w:val="30"/>
        </w:numPr>
        <w:spacing w:before="36" w:after="36" w:line="240" w:lineRule="auto"/>
        <w:rPr>
          <w:rFonts w:ascii="Calibri" w:eastAsia="Calibri" w:hAnsi="Calibri" w:cs="Calibri"/>
          <w:kern w:val="0"/>
          <w:lang w:val="en-US"/>
          <w14:ligatures w14:val="none"/>
        </w:rPr>
      </w:pPr>
      <w:r w:rsidRPr="005418A0">
        <w:rPr>
          <w:rFonts w:ascii="Calibri" w:eastAsia="Calibri" w:hAnsi="Calibri" w:cs="Calibri"/>
          <w:i/>
          <w:iCs/>
          <w:kern w:val="0"/>
          <w:lang w:val="en-US"/>
          <w14:ligatures w14:val="none"/>
        </w:rPr>
        <w:t>NGER Alignment:</w:t>
      </w:r>
      <w:r w:rsidRPr="005418A0">
        <w:rPr>
          <w:rFonts w:ascii="Calibri" w:eastAsia="Calibri" w:hAnsi="Calibri" w:cs="Calibri"/>
          <w:kern w:val="0"/>
          <w:lang w:val="en-US"/>
          <w14:ligatures w14:val="none"/>
        </w:rPr>
        <w:t xml:space="preserve"> Australian entities required under NGER legislation may utilize NGER measurement methodologies for those specific operations without departing from AASB S2 compliance. However, jurisdictional requirements do not exempt entities from disclosing Scope 1, 2, and 3 emissions for the entire entity (paragraph B25).</w:t>
      </w:r>
    </w:p>
    <w:p w14:paraId="669976CB"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31" w:name="X5a71ccc7e18c9f46b0191d12400dc23eca0e6cc"/>
      <w:bookmarkEnd w:id="30"/>
      <w:r w:rsidRPr="005418A0">
        <w:rPr>
          <w:rFonts w:ascii="Calibri" w:eastAsia="Calibri" w:hAnsi="Calibri" w:cs="Calibri"/>
          <w:iCs/>
          <w:color w:val="1F3A5F"/>
          <w:kern w:val="0"/>
          <w:lang w:val="en-US"/>
          <w14:ligatures w14:val="none"/>
        </w:rPr>
        <w:t>Gas Coverage &amp; Global Warming Potentials (GWPs)</w:t>
      </w:r>
    </w:p>
    <w:p w14:paraId="286F3F4F"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Kyoto Seven Gases:</w:t>
      </w:r>
      <w:r w:rsidRPr="005418A0">
        <w:rPr>
          <w:rFonts w:ascii="Calibri" w:eastAsia="Calibri" w:hAnsi="Calibri" w:cs="Calibri"/>
          <w:kern w:val="0"/>
          <w:sz w:val="20"/>
          <w:lang w:val="en-US"/>
          <w14:ligatures w14:val="none"/>
        </w:rPr>
        <w:t xml:space="preserve"> Carbon dioxide (\text{CO}_2), Methane (\text{CH}_4), Nitrous oxide (\text{N}_2\text{O}), Hydrofluorocarbons (\text{HFCs}), Nitrogen trifluoride (\text{NF}_3), Perfluorocarbons (\text{PFCs}), and Sulphur hexafluoride (\text{SF}_6).</w:t>
      </w:r>
    </w:p>
    <w:p w14:paraId="4EDC9350"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Conversion Factors:</w:t>
      </w:r>
      <w:r w:rsidRPr="005418A0">
        <w:rPr>
          <w:rFonts w:ascii="Calibri" w:eastAsia="Calibri" w:hAnsi="Calibri" w:cs="Calibri"/>
          <w:kern w:val="0"/>
          <w:sz w:val="20"/>
          <w:lang w:val="en-US"/>
          <w14:ligatures w14:val="none"/>
        </w:rPr>
        <w:t xml:space="preserve"> Constituent gases must be converted to \text{CO}_2\text{e} using 100-year GWP values from the </w:t>
      </w:r>
      <w:r w:rsidRPr="005418A0">
        <w:rPr>
          <w:rFonts w:ascii="Calibri" w:eastAsia="Calibri" w:hAnsi="Calibri" w:cs="Calibri"/>
          <w:b/>
          <w:bCs/>
          <w:kern w:val="0"/>
          <w:sz w:val="20"/>
          <w:lang w:val="en-US"/>
          <w14:ligatures w14:val="none"/>
        </w:rPr>
        <w:t>latest IPCC assessment available at reporting date</w:t>
      </w:r>
      <w:r w:rsidRPr="005418A0">
        <w:rPr>
          <w:rFonts w:ascii="Calibri" w:eastAsia="Calibri" w:hAnsi="Calibri" w:cs="Calibri"/>
          <w:kern w:val="0"/>
          <w:sz w:val="20"/>
          <w:lang w:val="en-US"/>
          <w14:ligatures w14:val="none"/>
        </w:rPr>
        <w:t xml:space="preserve"> (IPCC Sixth Assessment Report - AR6) (paragraph AusB22.1).</w:t>
      </w:r>
    </w:p>
    <w:p w14:paraId="7F0C4730"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32" w:name="disaggregation-scope-2-metrics"/>
      <w:bookmarkEnd w:id="31"/>
      <w:r w:rsidRPr="005418A0">
        <w:rPr>
          <w:rFonts w:ascii="Calibri" w:eastAsia="Calibri" w:hAnsi="Calibri" w:cs="Calibri"/>
          <w:iCs/>
          <w:color w:val="1F3A5F"/>
          <w:kern w:val="0"/>
          <w:lang w:val="en-US"/>
          <w14:ligatures w14:val="none"/>
        </w:rPr>
        <w:t>Disaggregation &amp; Scope 2 Metrics</w:t>
      </w:r>
    </w:p>
    <w:p w14:paraId="1514088E"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Scope 1 &amp; 2 Disaggregation:</w:t>
      </w:r>
      <w:r w:rsidRPr="005418A0">
        <w:rPr>
          <w:rFonts w:ascii="Calibri" w:eastAsia="Calibri" w:hAnsi="Calibri" w:cs="Calibri"/>
          <w:kern w:val="0"/>
          <w:sz w:val="20"/>
          <w:lang w:val="en-US"/>
          <w14:ligatures w14:val="none"/>
        </w:rPr>
        <w:t xml:space="preserve"> Must disaggregate emissions between (1) the consolidated accounting group (parent and consolidated subsidiaries) and (2) other investees (associates, joint ventures, unconsolidated subsidiaries) (paragraph 29(a)(iv)).</w:t>
      </w:r>
    </w:p>
    <w:p w14:paraId="3C98FCB0"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Scope 2 Reporting:</w:t>
      </w:r>
      <w:r w:rsidRPr="005418A0">
        <w:rPr>
          <w:rFonts w:ascii="Calibri" w:eastAsia="Calibri" w:hAnsi="Calibri" w:cs="Calibri"/>
          <w:kern w:val="0"/>
          <w:sz w:val="20"/>
          <w:lang w:val="en-US"/>
          <w14:ligatures w14:val="none"/>
        </w:rPr>
        <w:t xml:space="preserve"> Scope 2 emissions must be disclosed using a </w:t>
      </w:r>
      <w:r w:rsidRPr="005418A0">
        <w:rPr>
          <w:rFonts w:ascii="Calibri" w:eastAsia="Calibri" w:hAnsi="Calibri" w:cs="Calibri"/>
          <w:b/>
          <w:bCs/>
          <w:kern w:val="0"/>
          <w:sz w:val="20"/>
          <w:lang w:val="en-US"/>
          <w14:ligatures w14:val="none"/>
        </w:rPr>
        <w:t>location-based approach</w:t>
      </w:r>
      <w:r w:rsidRPr="005418A0">
        <w:rPr>
          <w:rFonts w:ascii="Calibri" w:eastAsia="Calibri" w:hAnsi="Calibri" w:cs="Calibri"/>
          <w:kern w:val="0"/>
          <w:sz w:val="20"/>
          <w:lang w:val="en-US"/>
          <w14:ligatures w14:val="none"/>
        </w:rPr>
        <w:t>. Information on contractual instruments (bundled/unbundled energy attribute claims, market-based Scope 2) must be provided where relevant to user understanding (paragraph B30–B31).</w:t>
      </w:r>
    </w:p>
    <w:p w14:paraId="5422C241"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33" w:name="scope-3-financed-emissions-framework"/>
      <w:bookmarkEnd w:id="29"/>
      <w:bookmarkEnd w:id="32"/>
      <w:r w:rsidRPr="005418A0">
        <w:rPr>
          <w:rFonts w:ascii="Calibri" w:eastAsia="Calibri" w:hAnsi="Calibri" w:cs="Calibri"/>
          <w:bCs/>
          <w:i/>
          <w:color w:val="1F3A5F"/>
          <w:kern w:val="0"/>
          <w:lang w:val="en-US"/>
          <w14:ligatures w14:val="none"/>
        </w:rPr>
        <w:t>Scope 3 &amp; Financed Emissions Framework</w:t>
      </w:r>
    </w:p>
    <w:p w14:paraId="54831B0B"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34" w:name="scope-3-measurement-principles"/>
      <w:r w:rsidRPr="005418A0">
        <w:rPr>
          <w:rFonts w:ascii="Calibri" w:eastAsia="Calibri" w:hAnsi="Calibri" w:cs="Calibri"/>
          <w:iCs/>
          <w:color w:val="1F3A5F"/>
          <w:kern w:val="0"/>
          <w:lang w:val="en-US"/>
          <w14:ligatures w14:val="none"/>
        </w:rPr>
        <w:t>Scope 3 Measurement Principles</w:t>
      </w:r>
    </w:p>
    <w:p w14:paraId="44B15042"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Scope 3 encompasses upstream and downstream value chain emissions across the 15 categories defined in the </w:t>
      </w:r>
      <w:r w:rsidRPr="005418A0">
        <w:rPr>
          <w:rFonts w:ascii="Calibri" w:eastAsia="Calibri" w:hAnsi="Calibri" w:cs="Calibri"/>
          <w:i/>
          <w:iCs/>
          <w:kern w:val="0"/>
          <w:sz w:val="20"/>
          <w:lang w:val="en-US"/>
          <w14:ligatures w14:val="none"/>
        </w:rPr>
        <w:t>GHG Protocol Corporate Value Chain (Scope 3) Accounting and Reporting Standard (2011)</w:t>
      </w:r>
      <w:r w:rsidRPr="005418A0">
        <w:rPr>
          <w:rFonts w:ascii="Calibri" w:eastAsia="Calibri" w:hAnsi="Calibri" w:cs="Calibri"/>
          <w:kern w:val="0"/>
          <w:sz w:val="20"/>
          <w:lang w:val="en-US"/>
          <w14:ligatures w14:val="none"/>
        </w:rPr>
        <w:t>:</w:t>
      </w:r>
    </w:p>
    <w:p w14:paraId="6160D6F5"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Purchased goods and services</w:t>
      </w:r>
    </w:p>
    <w:p w14:paraId="5B234CD2"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Capital goods</w:t>
      </w:r>
    </w:p>
    <w:p w14:paraId="7446E9A1"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Fuel- and energy-related activities</w:t>
      </w:r>
    </w:p>
    <w:p w14:paraId="5F7DC16B"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Upstream transportation &amp; distribution</w:t>
      </w:r>
    </w:p>
    <w:p w14:paraId="76721057"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Waste generated in operations</w:t>
      </w:r>
    </w:p>
    <w:p w14:paraId="10E9DE15"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Business travel</w:t>
      </w:r>
    </w:p>
    <w:p w14:paraId="76F9847F"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Employee commuting</w:t>
      </w:r>
    </w:p>
    <w:p w14:paraId="5D5CF72B"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Upstream leased assets</w:t>
      </w:r>
    </w:p>
    <w:p w14:paraId="52831033"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Downstream transportation &amp; distribution</w:t>
      </w:r>
    </w:p>
    <w:p w14:paraId="09115DBB"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Processing of sold products</w:t>
      </w:r>
    </w:p>
    <w:p w14:paraId="7A45834E"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Use of sold products</w:t>
      </w:r>
    </w:p>
    <w:p w14:paraId="57CB4643"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lastRenderedPageBreak/>
        <w:t>End-of-life treatment of sold products</w:t>
      </w:r>
    </w:p>
    <w:p w14:paraId="2C536D01"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Downstream leased assets</w:t>
      </w:r>
    </w:p>
    <w:p w14:paraId="17899216"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Franchises</w:t>
      </w:r>
    </w:p>
    <w:p w14:paraId="13B61DDA" w14:textId="77777777" w:rsidR="005418A0" w:rsidRPr="005418A0" w:rsidRDefault="005418A0" w:rsidP="005418A0">
      <w:pPr>
        <w:numPr>
          <w:ilvl w:val="0"/>
          <w:numId w:val="37"/>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Investments</w:t>
      </w:r>
    </w:p>
    <w:p w14:paraId="4CA3EF17" w14:textId="77777777" w:rsidR="005418A0" w:rsidRPr="005418A0" w:rsidRDefault="005418A0" w:rsidP="005418A0">
      <w:pPr>
        <w:keepNext/>
        <w:keepLines/>
        <w:spacing w:before="200" w:after="0" w:line="240" w:lineRule="auto"/>
        <w:outlineLvl w:val="5"/>
        <w:rPr>
          <w:rFonts w:ascii="Calibri" w:eastAsia="Calibri" w:hAnsi="Calibri" w:cs="Calibri"/>
          <w:color w:val="1F3A5F"/>
          <w:kern w:val="0"/>
          <w:lang w:val="en-US"/>
          <w14:ligatures w14:val="none"/>
        </w:rPr>
      </w:pPr>
      <w:bookmarkStart w:id="35" w:name="data-input-prioritization"/>
      <w:r w:rsidRPr="005418A0">
        <w:rPr>
          <w:rFonts w:ascii="Calibri" w:eastAsia="Calibri" w:hAnsi="Calibri" w:cs="Calibri"/>
          <w:color w:val="1F3A5F"/>
          <w:kern w:val="0"/>
          <w:lang w:val="en-US"/>
          <w14:ligatures w14:val="none"/>
        </w:rPr>
        <w:t>Data Input Prioritization</w:t>
      </w:r>
    </w:p>
    <w:p w14:paraId="4818165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Entities estimating Scope 3 emissions must prioritize inputs using four criteria (paragraph B40):</w:t>
      </w:r>
    </w:p>
    <w:p w14:paraId="5F1E6218" w14:textId="77777777" w:rsidR="005418A0" w:rsidRPr="005418A0" w:rsidRDefault="005418A0" w:rsidP="005418A0">
      <w:pPr>
        <w:numPr>
          <w:ilvl w:val="0"/>
          <w:numId w:val="38"/>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Direct measurement</w:t>
      </w:r>
      <w:r w:rsidRPr="005418A0">
        <w:rPr>
          <w:rFonts w:ascii="Calibri" w:eastAsia="Calibri" w:hAnsi="Calibri" w:cs="Calibri"/>
          <w:kern w:val="0"/>
          <w:sz w:val="20"/>
          <w:lang w:val="en-US"/>
          <w14:ligatures w14:val="none"/>
        </w:rPr>
        <w:t xml:space="preserve"> over estimation.</w:t>
      </w:r>
    </w:p>
    <w:p w14:paraId="2BA62609" w14:textId="77777777" w:rsidR="005418A0" w:rsidRPr="005418A0" w:rsidRDefault="005418A0" w:rsidP="005418A0">
      <w:pPr>
        <w:numPr>
          <w:ilvl w:val="0"/>
          <w:numId w:val="38"/>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Primary data</w:t>
      </w:r>
      <w:r w:rsidRPr="005418A0">
        <w:rPr>
          <w:rFonts w:ascii="Calibri" w:eastAsia="Calibri" w:hAnsi="Calibri" w:cs="Calibri"/>
          <w:kern w:val="0"/>
          <w:sz w:val="20"/>
          <w:lang w:val="en-US"/>
          <w14:ligatures w14:val="none"/>
        </w:rPr>
        <w:t xml:space="preserve"> (sourced directly from value chain partners) over secondary data (industry averages/databases).</w:t>
      </w:r>
    </w:p>
    <w:p w14:paraId="200DEFA7" w14:textId="77777777" w:rsidR="005418A0" w:rsidRPr="005418A0" w:rsidRDefault="005418A0" w:rsidP="005418A0">
      <w:pPr>
        <w:numPr>
          <w:ilvl w:val="0"/>
          <w:numId w:val="38"/>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Timely data</w:t>
      </w:r>
      <w:r w:rsidRPr="005418A0">
        <w:rPr>
          <w:rFonts w:ascii="Calibri" w:eastAsia="Calibri" w:hAnsi="Calibri" w:cs="Calibri"/>
          <w:kern w:val="0"/>
          <w:sz w:val="20"/>
          <w:lang w:val="en-US"/>
          <w14:ligatures w14:val="none"/>
        </w:rPr>
        <w:t xml:space="preserve"> representing the specific jurisdiction and technology.</w:t>
      </w:r>
    </w:p>
    <w:p w14:paraId="51AF9EFA" w14:textId="77777777" w:rsidR="005418A0" w:rsidRPr="005418A0" w:rsidRDefault="005418A0" w:rsidP="005418A0">
      <w:pPr>
        <w:numPr>
          <w:ilvl w:val="0"/>
          <w:numId w:val="38"/>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Verified data</w:t>
      </w:r>
      <w:r w:rsidRPr="005418A0">
        <w:rPr>
          <w:rFonts w:ascii="Calibri" w:eastAsia="Calibri" w:hAnsi="Calibri" w:cs="Calibri"/>
          <w:kern w:val="0"/>
          <w:sz w:val="20"/>
          <w:lang w:val="en-US"/>
          <w14:ligatures w14:val="none"/>
        </w:rPr>
        <w:t xml:space="preserve"> (internal or external verification).</w:t>
      </w:r>
    </w:p>
    <w:p w14:paraId="5972B755"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36" w:name="X7b7a83ea9cc418d6b46b320b1fa71e5aa98f2ed"/>
      <w:bookmarkEnd w:id="34"/>
      <w:bookmarkEnd w:id="35"/>
      <w:r w:rsidRPr="005418A0">
        <w:rPr>
          <w:rFonts w:ascii="Calibri" w:eastAsia="Calibri" w:hAnsi="Calibri" w:cs="Calibri"/>
          <w:iCs/>
          <w:color w:val="1F3A5F"/>
          <w:kern w:val="0"/>
          <w:lang w:val="en-US"/>
          <w14:ligatures w14:val="none"/>
        </w:rPr>
        <w:t>AASB S2025-1 Financed Emissions Amendments</w:t>
      </w:r>
    </w:p>
    <w:p w14:paraId="20F021E8"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Standard </w:t>
      </w:r>
      <w:r w:rsidRPr="005418A0">
        <w:rPr>
          <w:rFonts w:ascii="Calibri" w:eastAsia="Calibri" w:hAnsi="Calibri" w:cs="Calibri"/>
          <w:b/>
          <w:bCs/>
          <w:kern w:val="0"/>
          <w:sz w:val="20"/>
          <w:lang w:val="en-US"/>
          <w14:ligatures w14:val="none"/>
        </w:rPr>
        <w:t>AASB S2025-1</w:t>
      </w:r>
      <w:r w:rsidRPr="005418A0">
        <w:rPr>
          <w:rFonts w:ascii="Calibri" w:eastAsia="Calibri" w:hAnsi="Calibri" w:cs="Calibri"/>
          <w:kern w:val="0"/>
          <w:sz w:val="20"/>
          <w:lang w:val="en-US"/>
          <w14:ligatures w14:val="none"/>
        </w:rPr>
        <w:t xml:space="preserve"> (</w:t>
      </w:r>
      <w:r w:rsidRPr="005418A0">
        <w:rPr>
          <w:rFonts w:ascii="Calibri" w:eastAsia="Calibri" w:hAnsi="Calibri" w:cs="Calibri"/>
          <w:i/>
          <w:iCs/>
          <w:kern w:val="0"/>
          <w:sz w:val="20"/>
          <w:lang w:val="en-US"/>
          <w14:ligatures w14:val="none"/>
        </w:rPr>
        <w:t>Amendments to Greenhouse Gas Emissions Disclosures</w:t>
      </w:r>
      <w:r w:rsidRPr="005418A0">
        <w:rPr>
          <w:rFonts w:ascii="Calibri" w:eastAsia="Calibri" w:hAnsi="Calibri" w:cs="Calibri"/>
          <w:kern w:val="0"/>
          <w:sz w:val="20"/>
          <w:lang w:val="en-US"/>
          <w14:ligatures w14:val="none"/>
        </w:rPr>
        <w:t>, issued December 2025) provides specific reliefs and technical refinements for Scope 3 Category 15 (Investments):</w:t>
      </w:r>
    </w:p>
    <w:p w14:paraId="37517595"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SCOPE 3 CATEGORY 15 RELIEF</w:t>
      </w:r>
    </w:p>
    <w:p w14:paraId="4B18A6B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(AASB S2025-1)</w:t>
      </w:r>
    </w:p>
    <w:p w14:paraId="0BC0FFF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062985A0"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01F7F025"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w:t>
      </w:r>
    </w:p>
    <w:p w14:paraId="1FC4649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v v</w:t>
      </w:r>
    </w:p>
    <w:p w14:paraId="4C5350E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FINANCED EMISSIONS LIMITATION EXCLUSIONS PERMITTED</w:t>
      </w:r>
    </w:p>
    <w:p w14:paraId="3353247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Limit Category 15 to Financed Emissions Entities may exclude:</w:t>
      </w:r>
    </w:p>
    <w:p w14:paraId="17AB3A82"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Direct attribution to loans and investments * Derivatives (must explain GAAP definition used)</w:t>
      </w:r>
    </w:p>
    <w:p w14:paraId="1EF04D1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Includes loans, project finance, bonds, equity, undrawn commitments * Insurance underwriting portfolios ("associated emissions")</w:t>
      </w:r>
    </w:p>
    <w:p w14:paraId="03C955BA"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Asset managers include Assets Under Management (AUM) * Non-financed Category 15 activities</w:t>
      </w:r>
    </w:p>
    <w:p w14:paraId="5DEA7E29" w14:textId="77777777" w:rsidR="005418A0" w:rsidRPr="005418A0" w:rsidRDefault="005418A0" w:rsidP="005418A0">
      <w:pPr>
        <w:keepNext/>
        <w:keepLines/>
        <w:spacing w:before="200" w:after="0" w:line="240" w:lineRule="auto"/>
        <w:outlineLvl w:val="5"/>
        <w:rPr>
          <w:rFonts w:ascii="Calibri" w:eastAsia="Calibri" w:hAnsi="Calibri" w:cs="Calibri"/>
          <w:color w:val="1F3A5F"/>
          <w:kern w:val="0"/>
          <w:lang w:val="en-US"/>
          <w14:ligatures w14:val="none"/>
        </w:rPr>
      </w:pPr>
      <w:bookmarkStart w:id="37" w:name="sector-specific-disclosure-rules"/>
      <w:r w:rsidRPr="005418A0">
        <w:rPr>
          <w:rFonts w:ascii="Calibri" w:eastAsia="Calibri" w:hAnsi="Calibri" w:cs="Calibri"/>
          <w:color w:val="1F3A5F"/>
          <w:kern w:val="0"/>
          <w:lang w:val="en-US"/>
          <w14:ligatures w14:val="none"/>
        </w:rPr>
        <w:t>Sector-Specific Disclosure Rules:</w:t>
      </w:r>
    </w:p>
    <w:p w14:paraId="07F6D093"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Asset Management:</w:t>
      </w:r>
      <w:r w:rsidRPr="005418A0">
        <w:rPr>
          <w:rFonts w:ascii="Calibri" w:eastAsia="Calibri" w:hAnsi="Calibri" w:cs="Calibri"/>
          <w:kern w:val="0"/>
          <w:sz w:val="20"/>
          <w:lang w:val="en-US"/>
          <w14:ligatures w14:val="none"/>
        </w:rPr>
        <w:t xml:space="preserve"> Disclose absolute gross financed emissions disaggregated by Scope 1, 2, and 3; total AUM included; percentage of total AUM covered (explaining exclusions); and attribution allocation methodology (paragraph B61).</w:t>
      </w:r>
    </w:p>
    <w:p w14:paraId="22AC5D8A"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Commercial Banking:</w:t>
      </w:r>
      <w:r w:rsidRPr="005418A0">
        <w:rPr>
          <w:rFonts w:ascii="Calibri" w:eastAsia="Calibri" w:hAnsi="Calibri" w:cs="Calibri"/>
          <w:kern w:val="0"/>
          <w:sz w:val="20"/>
          <w:lang w:val="en-US"/>
          <w14:ligatures w14:val="none"/>
        </w:rPr>
        <w:t xml:space="preserve"> Disclose absolute gross financed emissions disaggregated by Scope 1, 2, and 3 by industry and asset class; gross exposure (funded carrying amounts and undrawn commitments); percentage of exposure included; and attribution methodology (paragraph B62).</w:t>
      </w:r>
    </w:p>
    <w:p w14:paraId="498D2B35"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Insurance:</w:t>
      </w:r>
      <w:r w:rsidRPr="005418A0">
        <w:rPr>
          <w:rFonts w:ascii="Calibri" w:eastAsia="Calibri" w:hAnsi="Calibri" w:cs="Calibri"/>
          <w:kern w:val="0"/>
          <w:sz w:val="20"/>
          <w:lang w:val="en-US"/>
          <w14:ligatures w14:val="none"/>
        </w:rPr>
        <w:t xml:space="preserve"> Disclose absolute gross financed emissions for investment assets disaggregated by Scope 1, 2, and 3 by industry and asset class, alongside exposure metrics (paragraph B63). </w:t>
      </w:r>
      <w:r w:rsidRPr="005418A0">
        <w:rPr>
          <w:rFonts w:ascii="Calibri" w:eastAsia="Calibri" w:hAnsi="Calibri" w:cs="Calibri"/>
          <w:i/>
          <w:iCs/>
          <w:kern w:val="0"/>
          <w:sz w:val="20"/>
          <w:lang w:val="en-US"/>
          <w14:ligatures w14:val="none"/>
        </w:rPr>
        <w:t>(Underwriting portfolio emissions are excluded).</w:t>
      </w:r>
    </w:p>
    <w:p w14:paraId="47BF734F"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Industry Classification:</w:t>
      </w:r>
      <w:r w:rsidRPr="005418A0">
        <w:rPr>
          <w:rFonts w:ascii="Calibri" w:eastAsia="Calibri" w:hAnsi="Calibri" w:cs="Calibri"/>
          <w:kern w:val="0"/>
          <w:sz w:val="20"/>
          <w:lang w:val="en-US"/>
          <w14:ligatures w14:val="none"/>
        </w:rPr>
        <w:t xml:space="preserve"> Financial institutions must select an industry-classification system that faithfully depicts exposure to climate transition risks, prioritizing systems commonly used within their peer group or jurisdiction to support comparability (paragraphs B62A, B63A).</w:t>
      </w:r>
    </w:p>
    <w:p w14:paraId="16B77C7D"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38" w:name="Xe3d12b934488e3b2b378d3c615f299da10b06e1"/>
      <w:bookmarkEnd w:id="33"/>
      <w:bookmarkEnd w:id="36"/>
      <w:bookmarkEnd w:id="37"/>
      <w:r w:rsidRPr="005418A0">
        <w:rPr>
          <w:rFonts w:ascii="Calibri" w:eastAsia="Calibri" w:hAnsi="Calibri" w:cs="Calibri"/>
          <w:bCs/>
          <w:i/>
          <w:color w:val="1F3A5F"/>
          <w:kern w:val="0"/>
          <w:lang w:val="en-US"/>
          <w14:ligatures w14:val="none"/>
        </w:rPr>
        <w:lastRenderedPageBreak/>
        <w:t>General Reporting Principles &amp; Exemptions (Appendix D)</w:t>
      </w:r>
    </w:p>
    <w:p w14:paraId="182F7246"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Appendix D incorporates essential conceptual and presentation principles drawn from voluntary standard AASB S1:</w:t>
      </w:r>
    </w:p>
    <w:p w14:paraId="6F3F9702"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39" w:name="qualitative-characteristics"/>
      <w:r w:rsidRPr="005418A0">
        <w:rPr>
          <w:rFonts w:ascii="Calibri" w:eastAsia="Calibri" w:hAnsi="Calibri" w:cs="Calibri"/>
          <w:iCs/>
          <w:color w:val="1F3A5F"/>
          <w:kern w:val="0"/>
          <w:lang w:val="en-US"/>
          <w14:ligatures w14:val="none"/>
        </w:rPr>
        <w:t>Qualitative Characteristics</w:t>
      </w:r>
    </w:p>
    <w:p w14:paraId="75910EAD"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Fundamental:</w:t>
      </w:r>
      <w:r w:rsidRPr="005418A0">
        <w:rPr>
          <w:rFonts w:ascii="Calibri" w:eastAsia="Calibri" w:hAnsi="Calibri" w:cs="Calibri"/>
          <w:kern w:val="0"/>
          <w:sz w:val="20"/>
          <w:lang w:val="en-US"/>
          <w14:ligatures w14:val="none"/>
        </w:rPr>
        <w:t xml:space="preserve"> </w:t>
      </w:r>
      <w:r w:rsidRPr="005418A0">
        <w:rPr>
          <w:rFonts w:ascii="Calibri" w:eastAsia="Calibri" w:hAnsi="Calibri" w:cs="Calibri"/>
          <w:i/>
          <w:iCs/>
          <w:kern w:val="0"/>
          <w:sz w:val="20"/>
          <w:lang w:val="en-US"/>
          <w14:ligatures w14:val="none"/>
        </w:rPr>
        <w:t>Relevance</w:t>
      </w:r>
      <w:r w:rsidRPr="005418A0">
        <w:rPr>
          <w:rFonts w:ascii="Calibri" w:eastAsia="Calibri" w:hAnsi="Calibri" w:cs="Calibri"/>
          <w:kern w:val="0"/>
          <w:sz w:val="20"/>
          <w:lang w:val="en-US"/>
          <w14:ligatures w14:val="none"/>
        </w:rPr>
        <w:t xml:space="preserve"> (predictive/confirmatory value) and </w:t>
      </w:r>
      <w:r w:rsidRPr="005418A0">
        <w:rPr>
          <w:rFonts w:ascii="Calibri" w:eastAsia="Calibri" w:hAnsi="Calibri" w:cs="Calibri"/>
          <w:i/>
          <w:iCs/>
          <w:kern w:val="0"/>
          <w:sz w:val="20"/>
          <w:lang w:val="en-US"/>
          <w14:ligatures w14:val="none"/>
        </w:rPr>
        <w:t>Faithful Representation</w:t>
      </w:r>
      <w:r w:rsidRPr="005418A0">
        <w:rPr>
          <w:rFonts w:ascii="Calibri" w:eastAsia="Calibri" w:hAnsi="Calibri" w:cs="Calibri"/>
          <w:kern w:val="0"/>
          <w:sz w:val="20"/>
          <w:lang w:val="en-US"/>
          <w14:ligatures w14:val="none"/>
        </w:rPr>
        <w:t xml:space="preserve"> (complete, neutral, accurate depiction supported by prudence).</w:t>
      </w:r>
    </w:p>
    <w:p w14:paraId="58ECF2B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Enhancing:</w:t>
      </w:r>
      <w:r w:rsidRPr="005418A0">
        <w:rPr>
          <w:rFonts w:ascii="Calibri" w:eastAsia="Calibri" w:hAnsi="Calibri" w:cs="Calibri"/>
          <w:kern w:val="0"/>
          <w:sz w:val="20"/>
          <w:lang w:val="en-US"/>
          <w14:ligatures w14:val="none"/>
        </w:rPr>
        <w:t xml:space="preserve"> </w:t>
      </w:r>
      <w:r w:rsidRPr="005418A0">
        <w:rPr>
          <w:rFonts w:ascii="Calibri" w:eastAsia="Calibri" w:hAnsi="Calibri" w:cs="Calibri"/>
          <w:i/>
          <w:iCs/>
          <w:kern w:val="0"/>
          <w:sz w:val="20"/>
          <w:lang w:val="en-US"/>
          <w14:ligatures w14:val="none"/>
        </w:rPr>
        <w:t>Comparability</w:t>
      </w:r>
      <w:r w:rsidRPr="005418A0">
        <w:rPr>
          <w:rFonts w:ascii="Calibri" w:eastAsia="Calibri" w:hAnsi="Calibri" w:cs="Calibri"/>
          <w:kern w:val="0"/>
          <w:sz w:val="20"/>
          <w:lang w:val="en-US"/>
          <w14:ligatures w14:val="none"/>
        </w:rPr>
        <w:t xml:space="preserve"> (consistent application over time and across entities), </w:t>
      </w:r>
      <w:r w:rsidRPr="005418A0">
        <w:rPr>
          <w:rFonts w:ascii="Calibri" w:eastAsia="Calibri" w:hAnsi="Calibri" w:cs="Calibri"/>
          <w:i/>
          <w:iCs/>
          <w:kern w:val="0"/>
          <w:sz w:val="20"/>
          <w:lang w:val="en-US"/>
          <w14:ligatures w14:val="none"/>
        </w:rPr>
        <w:t>Verifiability</w:t>
      </w:r>
      <w:r w:rsidRPr="005418A0">
        <w:rPr>
          <w:rFonts w:ascii="Calibri" w:eastAsia="Calibri" w:hAnsi="Calibri" w:cs="Calibri"/>
          <w:kern w:val="0"/>
          <w:sz w:val="20"/>
          <w:lang w:val="en-US"/>
          <w14:ligatures w14:val="none"/>
        </w:rPr>
        <w:t xml:space="preserve"> (corroboration of narrative or quantitative inputs), </w:t>
      </w:r>
      <w:r w:rsidRPr="005418A0">
        <w:rPr>
          <w:rFonts w:ascii="Calibri" w:eastAsia="Calibri" w:hAnsi="Calibri" w:cs="Calibri"/>
          <w:i/>
          <w:iCs/>
          <w:kern w:val="0"/>
          <w:sz w:val="20"/>
          <w:lang w:val="en-US"/>
          <w14:ligatures w14:val="none"/>
        </w:rPr>
        <w:t>Timeliness</w:t>
      </w:r>
      <w:r w:rsidRPr="005418A0">
        <w:rPr>
          <w:rFonts w:ascii="Calibri" w:eastAsia="Calibri" w:hAnsi="Calibri" w:cs="Calibri"/>
          <w:kern w:val="0"/>
          <w:sz w:val="20"/>
          <w:lang w:val="en-US"/>
          <w14:ligatures w14:val="none"/>
        </w:rPr>
        <w:t xml:space="preserve">, and </w:t>
      </w:r>
      <w:r w:rsidRPr="005418A0">
        <w:rPr>
          <w:rFonts w:ascii="Calibri" w:eastAsia="Calibri" w:hAnsi="Calibri" w:cs="Calibri"/>
          <w:i/>
          <w:iCs/>
          <w:kern w:val="0"/>
          <w:sz w:val="20"/>
          <w:lang w:val="en-US"/>
          <w14:ligatures w14:val="none"/>
        </w:rPr>
        <w:t>Understandability</w:t>
      </w:r>
      <w:r w:rsidRPr="005418A0">
        <w:rPr>
          <w:rFonts w:ascii="Calibri" w:eastAsia="Calibri" w:hAnsi="Calibri" w:cs="Calibri"/>
          <w:kern w:val="0"/>
          <w:sz w:val="20"/>
          <w:lang w:val="en-US"/>
          <w14:ligatures w14:val="none"/>
        </w:rPr>
        <w:t xml:space="preserve"> (clear, concise, non-boilerplate disclosure).</w:t>
      </w:r>
    </w:p>
    <w:p w14:paraId="152837AA"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40" w:name="materiality-connected-information"/>
      <w:bookmarkEnd w:id="39"/>
      <w:r w:rsidRPr="005418A0">
        <w:rPr>
          <w:rFonts w:ascii="Calibri" w:eastAsia="Calibri" w:hAnsi="Calibri" w:cs="Calibri"/>
          <w:iCs/>
          <w:color w:val="1F3A5F"/>
          <w:kern w:val="0"/>
          <w:lang w:val="en-US"/>
          <w14:ligatures w14:val="none"/>
        </w:rPr>
        <w:t>Materiality &amp; Connected Information</w:t>
      </w:r>
    </w:p>
    <w:p w14:paraId="42EC3ECA"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Materiality Definition:</w:t>
      </w:r>
      <w:r w:rsidRPr="005418A0">
        <w:rPr>
          <w:rFonts w:ascii="Calibri" w:eastAsia="Calibri" w:hAnsi="Calibri" w:cs="Calibri"/>
          <w:kern w:val="0"/>
          <w:sz w:val="20"/>
          <w:lang w:val="en-US"/>
          <w14:ligatures w14:val="none"/>
        </w:rPr>
        <w:t xml:space="preserve"> Information is material if omitting, misstating, or obscuring it could reasonably be expected to influence decisions made by primary users based on the complete general purpose financial report (paragraphs 18, D8).</w:t>
      </w:r>
    </w:p>
    <w:p w14:paraId="7C31908A"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Connected Information:</w:t>
      </w:r>
      <w:r w:rsidRPr="005418A0">
        <w:rPr>
          <w:rFonts w:ascii="Calibri" w:eastAsia="Calibri" w:hAnsi="Calibri" w:cs="Calibri"/>
          <w:kern w:val="0"/>
          <w:sz w:val="20"/>
          <w:lang w:val="en-US"/>
          <w14:ligatures w14:val="none"/>
        </w:rPr>
        <w:t xml:space="preserve"> Disclosures must explicitly articulate connections across governance, strategy, risk management, and metrics, as well as linkages between climate narrative and financial statement line items/assumptions (paragraph 21, B39–B44).</w:t>
      </w:r>
    </w:p>
    <w:p w14:paraId="1482F113"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41" w:name="reporting-exemptions"/>
      <w:bookmarkEnd w:id="40"/>
      <w:r w:rsidRPr="005418A0">
        <w:rPr>
          <w:rFonts w:ascii="Calibri" w:eastAsia="Calibri" w:hAnsi="Calibri" w:cs="Calibri"/>
          <w:iCs/>
          <w:color w:val="1F3A5F"/>
          <w:kern w:val="0"/>
          <w:lang w:val="en-US"/>
          <w14:ligatures w14:val="none"/>
        </w:rPr>
        <w:t>Reporting Exemptions</w:t>
      </w:r>
    </w:p>
    <w:p w14:paraId="7E6731CD" w14:textId="77777777" w:rsidR="005418A0" w:rsidRPr="005418A0" w:rsidRDefault="005418A0" w:rsidP="005418A0">
      <w:pPr>
        <w:numPr>
          <w:ilvl w:val="0"/>
          <w:numId w:val="39"/>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Commercially Sensitive Information:</w:t>
      </w:r>
      <w:r w:rsidRPr="005418A0">
        <w:rPr>
          <w:rFonts w:ascii="Calibri" w:eastAsia="Calibri" w:hAnsi="Calibri" w:cs="Calibri"/>
          <w:kern w:val="0"/>
          <w:sz w:val="20"/>
          <w:lang w:val="en-US"/>
          <w14:ligatures w14:val="none"/>
        </w:rPr>
        <w:t xml:space="preserve"> Permitted </w:t>
      </w:r>
      <w:r w:rsidRPr="005418A0">
        <w:rPr>
          <w:rFonts w:ascii="Calibri" w:eastAsia="Calibri" w:hAnsi="Calibri" w:cs="Calibri"/>
          <w:b/>
          <w:bCs/>
          <w:kern w:val="0"/>
          <w:sz w:val="20"/>
          <w:lang w:val="en-US"/>
          <w14:ligatures w14:val="none"/>
        </w:rPr>
        <w:t>only</w:t>
      </w:r>
      <w:r w:rsidRPr="005418A0">
        <w:rPr>
          <w:rFonts w:ascii="Calibri" w:eastAsia="Calibri" w:hAnsi="Calibri" w:cs="Calibri"/>
          <w:kern w:val="0"/>
          <w:sz w:val="20"/>
          <w:lang w:val="en-US"/>
          <w14:ligatures w14:val="none"/>
        </w:rPr>
        <w:t xml:space="preserve"> for climate-related </w:t>
      </w:r>
      <w:r w:rsidRPr="005418A0">
        <w:rPr>
          <w:rFonts w:ascii="Calibri" w:eastAsia="Calibri" w:hAnsi="Calibri" w:cs="Calibri"/>
          <w:i/>
          <w:iCs/>
          <w:kern w:val="0"/>
          <w:sz w:val="20"/>
          <w:lang w:val="en-US"/>
          <w14:ligatures w14:val="none"/>
        </w:rPr>
        <w:t>opportunities</w:t>
      </w:r>
      <w:r w:rsidRPr="005418A0">
        <w:rPr>
          <w:rFonts w:ascii="Calibri" w:eastAsia="Calibri" w:hAnsi="Calibri" w:cs="Calibri"/>
          <w:kern w:val="0"/>
          <w:sz w:val="20"/>
          <w:lang w:val="en-US"/>
          <w14:ligatures w14:val="none"/>
        </w:rPr>
        <w:t xml:space="preserve"> (never for risks) if the opportunity is not publicly available, disclosure would seriously prejudice economic benefits, and non-prejudicial aggregated disclosure is impossible (paragraphs B34–B37).</w:t>
      </w:r>
    </w:p>
    <w:p w14:paraId="57EE85C0" w14:textId="77777777" w:rsidR="005418A0" w:rsidRPr="005418A0" w:rsidRDefault="005418A0" w:rsidP="005418A0">
      <w:pPr>
        <w:numPr>
          <w:ilvl w:val="0"/>
          <w:numId w:val="39"/>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Prohibition by Law/Regulation:</w:t>
      </w:r>
      <w:r w:rsidRPr="005418A0">
        <w:rPr>
          <w:rFonts w:ascii="Calibri" w:eastAsia="Calibri" w:hAnsi="Calibri" w:cs="Calibri"/>
          <w:kern w:val="0"/>
          <w:sz w:val="20"/>
          <w:lang w:val="en-US"/>
          <w14:ligatures w14:val="none"/>
        </w:rPr>
        <w:t xml:space="preserve"> Exempts disclosure if prohibited by law or regulation, provided the entity identifies the omitted information and cites the legal restriction (paragraph B33).</w:t>
      </w:r>
    </w:p>
    <w:p w14:paraId="748DEF63" w14:textId="77777777" w:rsidR="005418A0" w:rsidRPr="005418A0" w:rsidRDefault="005418A0" w:rsidP="005418A0">
      <w:pPr>
        <w:numPr>
          <w:ilvl w:val="0"/>
          <w:numId w:val="39"/>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First-Year Transition Reliefs (Appendix C4):</w:t>
      </w:r>
      <w:r w:rsidRPr="005418A0">
        <w:rPr>
          <w:rFonts w:ascii="Calibri" w:eastAsia="Calibri" w:hAnsi="Calibri" w:cs="Calibri"/>
          <w:kern w:val="0"/>
          <w:sz w:val="20"/>
          <w:lang w:val="en-US"/>
          <w14:ligatures w14:val="none"/>
        </w:rPr>
        <w:t xml:space="preserve"> In the first annual application period, entities:</w:t>
      </w:r>
    </w:p>
    <w:p w14:paraId="0425A49A"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Are </w:t>
      </w:r>
      <w:r w:rsidRPr="005418A0">
        <w:rPr>
          <w:rFonts w:ascii="Calibri" w:eastAsia="Calibri" w:hAnsi="Calibri" w:cs="Calibri"/>
          <w:b/>
          <w:bCs/>
          <w:kern w:val="0"/>
          <w:sz w:val="20"/>
          <w:lang w:val="en-US"/>
          <w14:ligatures w14:val="none"/>
        </w:rPr>
        <w:t>not required to disclose Scope 3 emissions</w:t>
      </w:r>
      <w:r w:rsidRPr="005418A0">
        <w:rPr>
          <w:rFonts w:ascii="Calibri" w:eastAsia="Calibri" w:hAnsi="Calibri" w:cs="Calibri"/>
          <w:kern w:val="0"/>
          <w:sz w:val="20"/>
          <w:lang w:val="en-US"/>
          <w14:ligatures w14:val="none"/>
        </w:rPr>
        <w:t xml:space="preserve"> (including financed emissions).</w:t>
      </w:r>
    </w:p>
    <w:p w14:paraId="3328502F"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May continue using non-GHG Protocol measurement methods used in the preceding period.</w:t>
      </w:r>
    </w:p>
    <w:p w14:paraId="2C98E34E" w14:textId="77777777" w:rsidR="005418A0" w:rsidRPr="005418A0" w:rsidRDefault="005418A0" w:rsidP="005418A0">
      <w:pPr>
        <w:numPr>
          <w:ilvl w:val="1"/>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xml:space="preserve">Are </w:t>
      </w:r>
      <w:r w:rsidRPr="005418A0">
        <w:rPr>
          <w:rFonts w:ascii="Calibri" w:eastAsia="Calibri" w:hAnsi="Calibri" w:cs="Calibri"/>
          <w:b/>
          <w:bCs/>
          <w:kern w:val="0"/>
          <w:sz w:val="20"/>
          <w:lang w:val="en-US"/>
          <w14:ligatures w14:val="none"/>
        </w:rPr>
        <w:t>not required to present comparative information</w:t>
      </w:r>
      <w:r w:rsidRPr="005418A0">
        <w:rPr>
          <w:rFonts w:ascii="Calibri" w:eastAsia="Calibri" w:hAnsi="Calibri" w:cs="Calibri"/>
          <w:kern w:val="0"/>
          <w:sz w:val="20"/>
          <w:lang w:val="en-US"/>
          <w14:ligatures w14:val="none"/>
        </w:rPr>
        <w:t xml:space="preserve"> in Year 1.</w:t>
      </w:r>
    </w:p>
    <w:p w14:paraId="00550513" w14:textId="77777777" w:rsidR="005418A0" w:rsidRPr="005418A0" w:rsidRDefault="005418A0" w:rsidP="005418A0">
      <w:pPr>
        <w:keepNext/>
        <w:keepLines/>
        <w:spacing w:before="200" w:after="0" w:line="240" w:lineRule="auto"/>
        <w:outlineLvl w:val="3"/>
        <w:rPr>
          <w:rFonts w:ascii="Calibri" w:eastAsia="Calibri" w:hAnsi="Calibri" w:cs="Calibri"/>
          <w:bCs/>
          <w:i/>
          <w:color w:val="1F3A5F"/>
          <w:kern w:val="0"/>
          <w:lang w:val="en-US"/>
          <w14:ligatures w14:val="none"/>
        </w:rPr>
      </w:pPr>
      <w:bookmarkStart w:id="42" w:name="X8a0884ddc53164c7fe9f2189c5b8b973ef6038b"/>
      <w:bookmarkEnd w:id="38"/>
      <w:bookmarkEnd w:id="41"/>
      <w:r w:rsidRPr="005418A0">
        <w:rPr>
          <w:rFonts w:ascii="Calibri" w:eastAsia="Calibri" w:hAnsi="Calibri" w:cs="Calibri"/>
          <w:bCs/>
          <w:i/>
          <w:color w:val="1F3A5F"/>
          <w:kern w:val="0"/>
          <w:lang w:val="en-US"/>
          <w14:ligatures w14:val="none"/>
        </w:rPr>
        <w:t>Technical Board Rationale &amp; Dissenting Views</w:t>
      </w:r>
    </w:p>
    <w:p w14:paraId="58B0664B"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43" w:name="board-rationale-basis-for-conclusions"/>
      <w:r w:rsidRPr="005418A0">
        <w:rPr>
          <w:rFonts w:ascii="Calibri" w:eastAsia="Calibri" w:hAnsi="Calibri" w:cs="Calibri"/>
          <w:iCs/>
          <w:color w:val="1F3A5F"/>
          <w:kern w:val="0"/>
          <w:lang w:val="en-US"/>
          <w14:ligatures w14:val="none"/>
        </w:rPr>
        <w:t>Board Rationale (Basis for Conclusions)</w:t>
      </w:r>
    </w:p>
    <w:p w14:paraId="02513487"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GHG Framework Selection:</w:t>
      </w:r>
      <w:r w:rsidRPr="005418A0">
        <w:rPr>
          <w:rFonts w:ascii="Calibri" w:eastAsia="Calibri" w:hAnsi="Calibri" w:cs="Calibri"/>
          <w:kern w:val="0"/>
          <w:sz w:val="20"/>
          <w:lang w:val="en-US"/>
          <w14:ligatures w14:val="none"/>
        </w:rPr>
        <w:t xml:space="preserve"> The AASB prioritized the international GHG Protocol over NGER legislation as the default baseline to support international interoperability (e.g., with European Sustainability Reporting Standards) and provide operational flexibility for non-NGER entities (paragraphs BC37–BC38).</w:t>
      </w:r>
    </w:p>
    <w:p w14:paraId="0058C26A"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NF3 Inclusion:</w:t>
      </w:r>
      <w:r w:rsidRPr="005418A0">
        <w:rPr>
          <w:rFonts w:ascii="Calibri" w:eastAsia="Calibri" w:hAnsi="Calibri" w:cs="Calibri"/>
          <w:kern w:val="0"/>
          <w:sz w:val="20"/>
          <w:lang w:val="en-US"/>
          <w14:ligatures w14:val="none"/>
        </w:rPr>
        <w:t xml:space="preserve"> Retained Nitrogen trifluoride (\text{NF}_3) in the gas definition despite its absence in NGER legislation. The Board noted \text{NF}_3 emissions are currently low in Australia but deemed its inclusion necessary to accommodate potential expansion in domestic renewable technology manufacturing (solar panels) (paragraph BC41).</w:t>
      </w:r>
    </w:p>
    <w:p w14:paraId="682705CB"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Omission of Prescribed Scenarios:</w:t>
      </w:r>
      <w:r w:rsidRPr="005418A0">
        <w:rPr>
          <w:rFonts w:ascii="Calibri" w:eastAsia="Calibri" w:hAnsi="Calibri" w:cs="Calibri"/>
          <w:kern w:val="0"/>
          <w:sz w:val="20"/>
          <w:lang w:val="en-US"/>
          <w14:ligatures w14:val="none"/>
        </w:rPr>
        <w:t xml:space="preserve"> The Board declined to hardcode temperature targets into AASB S2 text, relying instead on the statutory minimums established in Corporations Act s296D(2B) (evaluating 1.5°C and &gt;2°C scenarios) to avoid frequent standard amendments when legislative goals change (paragraphs BC62–BC64).</w:t>
      </w:r>
    </w:p>
    <w:p w14:paraId="3C1630CE" w14:textId="77777777" w:rsidR="005418A0" w:rsidRPr="005418A0" w:rsidRDefault="005418A0" w:rsidP="005418A0">
      <w:pPr>
        <w:keepNext/>
        <w:keepLines/>
        <w:spacing w:before="200" w:after="0" w:line="240" w:lineRule="auto"/>
        <w:outlineLvl w:val="4"/>
        <w:rPr>
          <w:rFonts w:ascii="Calibri" w:eastAsia="Calibri" w:hAnsi="Calibri" w:cs="Calibri"/>
          <w:iCs/>
          <w:color w:val="1F3A5F"/>
          <w:kern w:val="0"/>
          <w:lang w:val="en-US"/>
          <w14:ligatures w14:val="none"/>
        </w:rPr>
      </w:pPr>
      <w:bookmarkStart w:id="44" w:name="X1001d4687cc710359556b213f65775c91b50295"/>
      <w:bookmarkEnd w:id="43"/>
      <w:r w:rsidRPr="005418A0">
        <w:rPr>
          <w:rFonts w:ascii="Calibri" w:eastAsia="Calibri" w:hAnsi="Calibri" w:cs="Calibri"/>
          <w:iCs/>
          <w:color w:val="1F3A5F"/>
          <w:kern w:val="0"/>
          <w:lang w:val="en-US"/>
          <w14:ligatures w14:val="none"/>
        </w:rPr>
        <w:t>Dissenting View of Caroline Spencer (AASB Board Member)</w:t>
      </w:r>
    </w:p>
    <w:p w14:paraId="3A5B2647"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Board Member Caroline Spencer formally dissented from the issuance of AASB S2 (paragraphs DV1–DV7), citing fundamental concerns:</w:t>
      </w:r>
    </w:p>
    <w:p w14:paraId="55D84AA8"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lastRenderedPageBreak/>
        <w:t>CAROLINE SPENCER DISSENT</w:t>
      </w:r>
    </w:p>
    <w:p w14:paraId="65B4F934"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(Paragraphs DV1-DV7)</w:t>
      </w:r>
    </w:p>
    <w:p w14:paraId="6AC9287D"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42233321"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w:t>
      </w:r>
    </w:p>
    <w:p w14:paraId="5B6D4C3B"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 | | |</w:t>
      </w:r>
    </w:p>
    <w:p w14:paraId="0B126C12"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v v v v</w:t>
      </w:r>
    </w:p>
    <w:p w14:paraId="5CC8B2F2"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COST VS. BENEFIT SCOPE 3 AUDITABILITY PUBLIC SECTOR FIT CAPACITY SHORTAGES</w:t>
      </w:r>
    </w:p>
    <w:p w14:paraId="1A85E7E6"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Severe burden on Unestablished control Governments act as Acute shortages in</w:t>
      </w:r>
    </w:p>
    <w:p w14:paraId="1E1E314F"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NFPs &amp; smaller &amp; verifiability first responders/ audit &amp; reporting</w:t>
      </w:r>
    </w:p>
    <w:p w14:paraId="07565382"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entities relative concepts in value funders of last capacity make rules</w:t>
      </w:r>
    </w:p>
    <w:p w14:paraId="15CE515C" w14:textId="77777777" w:rsidR="005418A0" w:rsidRPr="005418A0" w:rsidRDefault="005418A0" w:rsidP="005418A0">
      <w:pPr>
        <w:spacing w:before="40" w:after="80" w:line="240" w:lineRule="auto"/>
        <w:ind w:left="284" w:right="113"/>
        <w:rPr>
          <w:rFonts w:ascii="Calibri" w:eastAsia="Calibri" w:hAnsi="Calibri" w:cs="Calibri"/>
          <w:kern w:val="0"/>
          <w:sz w:val="20"/>
          <w:lang w:val="en-US"/>
          <w14:ligatures w14:val="none"/>
        </w:rPr>
      </w:pPr>
      <w:r w:rsidRPr="005418A0">
        <w:rPr>
          <w:rFonts w:ascii="Calibri" w:eastAsia="Calibri" w:hAnsi="Calibri" w:cs="Calibri"/>
          <w:kern w:val="0"/>
          <w:sz w:val="20"/>
          <w:lang w:val="en-US"/>
          <w14:ligatures w14:val="none"/>
        </w:rPr>
        <w:t>to decision utility chain calculations resort unworkable</w:t>
      </w:r>
    </w:p>
    <w:p w14:paraId="2713F391"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Cost vs. Benefit Imbalance:</w:t>
      </w:r>
      <w:r w:rsidRPr="005418A0">
        <w:rPr>
          <w:rFonts w:ascii="Calibri" w:eastAsia="Calibri" w:hAnsi="Calibri" w:cs="Calibri"/>
          <w:kern w:val="0"/>
          <w:sz w:val="20"/>
          <w:lang w:val="en-US"/>
          <w14:ligatures w14:val="none"/>
        </w:rPr>
        <w:t xml:space="preserve"> Disproportionate compliance costs imposed on smaller unlisted businesses and not-for-profit entities where financial decision utility to primary report users is unproven.</w:t>
      </w:r>
    </w:p>
    <w:p w14:paraId="4373BD8B"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Scope 3 Unreliability:</w:t>
      </w:r>
      <w:r w:rsidRPr="005418A0">
        <w:rPr>
          <w:rFonts w:ascii="Calibri" w:eastAsia="Calibri" w:hAnsi="Calibri" w:cs="Calibri"/>
          <w:kern w:val="0"/>
          <w:sz w:val="20"/>
          <w:lang w:val="en-US"/>
          <w14:ligatures w14:val="none"/>
        </w:rPr>
        <w:t xml:space="preserve"> Concerns over the auditability, lack of reporting entity control, and doubtful verifiability of Scope 3 emissions across multi-tiered global value chains.</w:t>
      </w:r>
    </w:p>
    <w:p w14:paraId="4A3B5C5B"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Public Sector Incompatibility:</w:t>
      </w:r>
      <w:r w:rsidRPr="005418A0">
        <w:rPr>
          <w:rFonts w:ascii="Calibri" w:eastAsia="Calibri" w:hAnsi="Calibri" w:cs="Calibri"/>
          <w:kern w:val="0"/>
          <w:sz w:val="20"/>
          <w:lang w:val="en-US"/>
          <w14:ligatures w14:val="none"/>
        </w:rPr>
        <w:t xml:space="preserve"> AASB S2 was designed for commercial for-profit entities. It fails to reflect the public sector's role as a funder of last resort and emergency responder during climate disasters, where long-term financial impacts cannot be reliably modeled on a whole-of-government scale.</w:t>
      </w:r>
    </w:p>
    <w:p w14:paraId="6252E73F" w14:textId="77777777" w:rsidR="005418A0" w:rsidRPr="005418A0" w:rsidRDefault="005418A0" w:rsidP="005418A0">
      <w:pPr>
        <w:numPr>
          <w:ilvl w:val="0"/>
          <w:numId w:val="30"/>
        </w:numPr>
        <w:spacing w:before="40" w:after="80" w:line="240" w:lineRule="auto"/>
        <w:ind w:right="113"/>
        <w:rPr>
          <w:rFonts w:ascii="Calibri" w:eastAsia="Calibri" w:hAnsi="Calibri" w:cs="Calibri"/>
          <w:kern w:val="0"/>
          <w:sz w:val="20"/>
          <w:lang w:val="en-US"/>
          <w14:ligatures w14:val="none"/>
        </w:rPr>
      </w:pPr>
      <w:r w:rsidRPr="005418A0">
        <w:rPr>
          <w:rFonts w:ascii="Calibri" w:eastAsia="Calibri" w:hAnsi="Calibri" w:cs="Calibri"/>
          <w:b/>
          <w:bCs/>
          <w:kern w:val="0"/>
          <w:sz w:val="20"/>
          <w:lang w:val="en-US"/>
          <w14:ligatures w14:val="none"/>
        </w:rPr>
        <w:t>Capability Deficits:</w:t>
      </w:r>
      <w:r w:rsidRPr="005418A0">
        <w:rPr>
          <w:rFonts w:ascii="Calibri" w:eastAsia="Calibri" w:hAnsi="Calibri" w:cs="Calibri"/>
          <w:kern w:val="0"/>
          <w:sz w:val="20"/>
          <w:lang w:val="en-US"/>
          <w14:ligatures w14:val="none"/>
        </w:rPr>
        <w:t xml:space="preserve"> Implementation is undermined by severe capacity and skills shortages in reporting and assurance professionals across Australia.</w:t>
      </w:r>
    </w:p>
    <w:bookmarkEnd w:id="13"/>
    <w:bookmarkEnd w:id="42"/>
    <w:bookmarkEnd w:id="44"/>
    <w:p w14:paraId="70E84625" w14:textId="77777777" w:rsidR="007102C8" w:rsidRPr="005418A0" w:rsidRDefault="007102C8" w:rsidP="005418A0"/>
    <w:sectPr w:rsidR="007102C8" w:rsidRPr="005418A0" w:rsidSect="005418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A40C12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00EDF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5AE0ADA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CCEE488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4A702BF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4945887"/>
    <w:multiLevelType w:val="multilevel"/>
    <w:tmpl w:val="0CB6FE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F2A5C"/>
    <w:multiLevelType w:val="multilevel"/>
    <w:tmpl w:val="A17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E5BFB"/>
    <w:multiLevelType w:val="multilevel"/>
    <w:tmpl w:val="F6E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32889"/>
    <w:multiLevelType w:val="multilevel"/>
    <w:tmpl w:val="951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03F68"/>
    <w:multiLevelType w:val="multilevel"/>
    <w:tmpl w:val="653ADC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EB5E62"/>
    <w:multiLevelType w:val="multilevel"/>
    <w:tmpl w:val="5E2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C371E"/>
    <w:multiLevelType w:val="multilevel"/>
    <w:tmpl w:val="4E1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17D87"/>
    <w:multiLevelType w:val="multilevel"/>
    <w:tmpl w:val="14EA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51840"/>
    <w:multiLevelType w:val="multilevel"/>
    <w:tmpl w:val="EB8A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E37C3"/>
    <w:multiLevelType w:val="multilevel"/>
    <w:tmpl w:val="EFA6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B04AF"/>
    <w:multiLevelType w:val="multilevel"/>
    <w:tmpl w:val="D78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C3962"/>
    <w:multiLevelType w:val="multilevel"/>
    <w:tmpl w:val="49C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62DC1"/>
    <w:multiLevelType w:val="multilevel"/>
    <w:tmpl w:val="0722F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7B28BF"/>
    <w:multiLevelType w:val="multilevel"/>
    <w:tmpl w:val="C6F8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36220"/>
    <w:multiLevelType w:val="multilevel"/>
    <w:tmpl w:val="6E96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5A6DA0"/>
    <w:multiLevelType w:val="multilevel"/>
    <w:tmpl w:val="D36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E294C"/>
    <w:multiLevelType w:val="multilevel"/>
    <w:tmpl w:val="0474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EE21A9"/>
    <w:multiLevelType w:val="multilevel"/>
    <w:tmpl w:val="131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B0A97"/>
    <w:multiLevelType w:val="multilevel"/>
    <w:tmpl w:val="CEBEC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CF644D"/>
    <w:multiLevelType w:val="multilevel"/>
    <w:tmpl w:val="42F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A1A31"/>
    <w:multiLevelType w:val="multilevel"/>
    <w:tmpl w:val="EE2E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073D3F"/>
    <w:multiLevelType w:val="multilevel"/>
    <w:tmpl w:val="B41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4457C"/>
    <w:multiLevelType w:val="multilevel"/>
    <w:tmpl w:val="B74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145B8"/>
    <w:multiLevelType w:val="multilevel"/>
    <w:tmpl w:val="CCECF6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0A3D5E"/>
    <w:multiLevelType w:val="multilevel"/>
    <w:tmpl w:val="FF70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0432F9"/>
    <w:multiLevelType w:val="multilevel"/>
    <w:tmpl w:val="925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F7436"/>
    <w:multiLevelType w:val="multilevel"/>
    <w:tmpl w:val="2BB0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526AD"/>
    <w:multiLevelType w:val="multilevel"/>
    <w:tmpl w:val="FF2E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B33EE"/>
    <w:multiLevelType w:val="multilevel"/>
    <w:tmpl w:val="FA4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940580">
    <w:abstractNumId w:val="32"/>
  </w:num>
  <w:num w:numId="2" w16cid:durableId="986858873">
    <w:abstractNumId w:val="21"/>
  </w:num>
  <w:num w:numId="3" w16cid:durableId="1074011875">
    <w:abstractNumId w:val="31"/>
  </w:num>
  <w:num w:numId="4" w16cid:durableId="38559318">
    <w:abstractNumId w:val="9"/>
  </w:num>
  <w:num w:numId="5" w16cid:durableId="1723097040">
    <w:abstractNumId w:val="24"/>
  </w:num>
  <w:num w:numId="6" w16cid:durableId="803741028">
    <w:abstractNumId w:val="5"/>
  </w:num>
  <w:num w:numId="7" w16cid:durableId="991176588">
    <w:abstractNumId w:val="20"/>
  </w:num>
  <w:num w:numId="8" w16cid:durableId="1688368836">
    <w:abstractNumId w:val="28"/>
  </w:num>
  <w:num w:numId="9" w16cid:durableId="192427324">
    <w:abstractNumId w:val="8"/>
  </w:num>
  <w:num w:numId="10" w16cid:durableId="1389526731">
    <w:abstractNumId w:val="26"/>
  </w:num>
  <w:num w:numId="11" w16cid:durableId="1619682675">
    <w:abstractNumId w:val="7"/>
  </w:num>
  <w:num w:numId="12" w16cid:durableId="710692263">
    <w:abstractNumId w:val="23"/>
  </w:num>
  <w:num w:numId="13" w16cid:durableId="1556700555">
    <w:abstractNumId w:val="33"/>
  </w:num>
  <w:num w:numId="14" w16cid:durableId="1542983835">
    <w:abstractNumId w:val="13"/>
  </w:num>
  <w:num w:numId="15" w16cid:durableId="864437950">
    <w:abstractNumId w:val="18"/>
  </w:num>
  <w:num w:numId="16" w16cid:durableId="290945383">
    <w:abstractNumId w:val="12"/>
  </w:num>
  <w:num w:numId="17" w16cid:durableId="377903687">
    <w:abstractNumId w:val="19"/>
  </w:num>
  <w:num w:numId="18" w16cid:durableId="1434593246">
    <w:abstractNumId w:val="11"/>
  </w:num>
  <w:num w:numId="19" w16cid:durableId="1357465812">
    <w:abstractNumId w:val="14"/>
  </w:num>
  <w:num w:numId="20" w16cid:durableId="1006707259">
    <w:abstractNumId w:val="15"/>
  </w:num>
  <w:num w:numId="21" w16cid:durableId="1461535400">
    <w:abstractNumId w:val="30"/>
  </w:num>
  <w:num w:numId="22" w16cid:durableId="2050950466">
    <w:abstractNumId w:val="25"/>
  </w:num>
  <w:num w:numId="23" w16cid:durableId="1001590827">
    <w:abstractNumId w:val="29"/>
  </w:num>
  <w:num w:numId="24" w16cid:durableId="1759131594">
    <w:abstractNumId w:val="27"/>
  </w:num>
  <w:num w:numId="25" w16cid:durableId="1009258851">
    <w:abstractNumId w:val="6"/>
  </w:num>
  <w:num w:numId="26" w16cid:durableId="1921258017">
    <w:abstractNumId w:val="10"/>
  </w:num>
  <w:num w:numId="27" w16cid:durableId="1648703105">
    <w:abstractNumId w:val="17"/>
  </w:num>
  <w:num w:numId="28" w16cid:durableId="1731806931">
    <w:abstractNumId w:val="16"/>
  </w:num>
  <w:num w:numId="29" w16cid:durableId="908730040">
    <w:abstractNumId w:val="22"/>
  </w:num>
  <w:num w:numId="30" w16cid:durableId="1964993480">
    <w:abstractNumId w:val="0"/>
  </w:num>
  <w:num w:numId="31" w16cid:durableId="847597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8967759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16cid:durableId="200593292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 w16cid:durableId="15561349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 w16cid:durableId="1668508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7844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54607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395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22347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52"/>
    <w:rsid w:val="001F0818"/>
    <w:rsid w:val="00480C52"/>
    <w:rsid w:val="005418A0"/>
    <w:rsid w:val="007102C8"/>
    <w:rsid w:val="008C4615"/>
    <w:rsid w:val="00983D0E"/>
    <w:rsid w:val="00A53850"/>
    <w:rsid w:val="00B05B67"/>
    <w:rsid w:val="00F728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ADF7"/>
  <w15:chartTrackingRefBased/>
  <w15:docId w15:val="{D694E7A4-6530-2740-8F39-D4712BF2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818"/>
  </w:style>
  <w:style w:type="paragraph" w:styleId="Heading1">
    <w:name w:val="heading 1"/>
    <w:basedOn w:val="Normal"/>
    <w:next w:val="Normal"/>
    <w:link w:val="Heading1Char"/>
    <w:uiPriority w:val="9"/>
    <w:qFormat/>
    <w:rsid w:val="00480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0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0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C52"/>
    <w:rPr>
      <w:rFonts w:eastAsiaTheme="majorEastAsia" w:cstheme="majorBidi"/>
      <w:color w:val="272727" w:themeColor="text1" w:themeTint="D8"/>
    </w:rPr>
  </w:style>
  <w:style w:type="paragraph" w:styleId="Title">
    <w:name w:val="Title"/>
    <w:basedOn w:val="Normal"/>
    <w:next w:val="Normal"/>
    <w:link w:val="TitleChar"/>
    <w:uiPriority w:val="10"/>
    <w:qFormat/>
    <w:rsid w:val="00480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C52"/>
    <w:pPr>
      <w:spacing w:before="160"/>
      <w:jc w:val="center"/>
    </w:pPr>
    <w:rPr>
      <w:i/>
      <w:iCs/>
      <w:color w:val="404040" w:themeColor="text1" w:themeTint="BF"/>
    </w:rPr>
  </w:style>
  <w:style w:type="character" w:customStyle="1" w:styleId="QuoteChar">
    <w:name w:val="Quote Char"/>
    <w:basedOn w:val="DefaultParagraphFont"/>
    <w:link w:val="Quote"/>
    <w:uiPriority w:val="29"/>
    <w:rsid w:val="00480C52"/>
    <w:rPr>
      <w:i/>
      <w:iCs/>
      <w:color w:val="404040" w:themeColor="text1" w:themeTint="BF"/>
    </w:rPr>
  </w:style>
  <w:style w:type="paragraph" w:styleId="ListParagraph">
    <w:name w:val="List Paragraph"/>
    <w:basedOn w:val="Normal"/>
    <w:uiPriority w:val="34"/>
    <w:qFormat/>
    <w:rsid w:val="00480C52"/>
    <w:pPr>
      <w:ind w:left="720"/>
      <w:contextualSpacing/>
    </w:pPr>
  </w:style>
  <w:style w:type="character" w:styleId="IntenseEmphasis">
    <w:name w:val="Intense Emphasis"/>
    <w:basedOn w:val="DefaultParagraphFont"/>
    <w:uiPriority w:val="21"/>
    <w:qFormat/>
    <w:rsid w:val="00480C52"/>
    <w:rPr>
      <w:i/>
      <w:iCs/>
      <w:color w:val="0F4761" w:themeColor="accent1" w:themeShade="BF"/>
    </w:rPr>
  </w:style>
  <w:style w:type="paragraph" w:styleId="IntenseQuote">
    <w:name w:val="Intense Quote"/>
    <w:basedOn w:val="Normal"/>
    <w:next w:val="Normal"/>
    <w:link w:val="IntenseQuoteChar"/>
    <w:uiPriority w:val="30"/>
    <w:qFormat/>
    <w:rsid w:val="00480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C52"/>
    <w:rPr>
      <w:i/>
      <w:iCs/>
      <w:color w:val="0F4761" w:themeColor="accent1" w:themeShade="BF"/>
    </w:rPr>
  </w:style>
  <w:style w:type="character" w:styleId="IntenseReference">
    <w:name w:val="Intense Reference"/>
    <w:basedOn w:val="DefaultParagraphFont"/>
    <w:uiPriority w:val="32"/>
    <w:qFormat/>
    <w:rsid w:val="00480C52"/>
    <w:rPr>
      <w:b/>
      <w:bCs/>
      <w:smallCaps/>
      <w:color w:val="0F4761" w:themeColor="accent1" w:themeShade="BF"/>
      <w:spacing w:val="5"/>
    </w:rPr>
  </w:style>
  <w:style w:type="character" w:styleId="Strong">
    <w:name w:val="Strong"/>
    <w:basedOn w:val="DefaultParagraphFont"/>
    <w:uiPriority w:val="22"/>
    <w:qFormat/>
    <w:rsid w:val="001F0818"/>
    <w:rPr>
      <w:b/>
      <w:bCs/>
    </w:rPr>
  </w:style>
  <w:style w:type="paragraph" w:styleId="NormalWeb">
    <w:name w:val="Normal (Web)"/>
    <w:basedOn w:val="Normal"/>
    <w:uiPriority w:val="99"/>
    <w:semiHidden/>
    <w:unhideWhenUsed/>
    <w:rsid w:val="001F08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F0818"/>
    <w:rPr>
      <w:i/>
      <w:iCs/>
    </w:rPr>
  </w:style>
  <w:style w:type="paragraph" w:styleId="HTMLPreformatted">
    <w:name w:val="HTML Preformatted"/>
    <w:basedOn w:val="Normal"/>
    <w:link w:val="HTMLPreformattedChar"/>
    <w:uiPriority w:val="99"/>
    <w:semiHidden/>
    <w:unhideWhenUsed/>
    <w:rsid w:val="001F0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F08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F0818"/>
    <w:rPr>
      <w:rFonts w:ascii="Courier New" w:eastAsia="Times New Roman" w:hAnsi="Courier New" w:cs="Courier New"/>
      <w:sz w:val="20"/>
      <w:szCs w:val="20"/>
    </w:rPr>
  </w:style>
  <w:style w:type="table" w:customStyle="1" w:styleId="Table">
    <w:name w:val="Table"/>
    <w:semiHidden/>
    <w:unhideWhenUsed/>
    <w:qFormat/>
    <w:rsid w:val="005418A0"/>
    <w:pPr>
      <w:spacing w:after="200" w:line="240" w:lineRule="auto"/>
    </w:pPr>
    <w:rPr>
      <w:rFonts w:ascii="Calibri" w:eastAsia="Calibri" w:hAnsi="Calibri" w:cs="Calibri"/>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6003</Words>
  <Characters>34223</Characters>
  <Application>Microsoft Office Word</Application>
  <DocSecurity>0</DocSecurity>
  <Lines>285</Lines>
  <Paragraphs>80</Paragraphs>
  <ScaleCrop>false</ScaleCrop>
  <Company/>
  <LinksUpToDate>false</LinksUpToDate>
  <CharactersWithSpaces>40146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UMME TANJIMA ANIKA</dc:creator>
  <cp:keywords/>
  <dc:description/>
  <cp:lastModifiedBy>UMME TANJIMA ANIKA</cp:lastModifiedBy>
  <cp:revision>3</cp:revision>
  <dcterms:created xsi:type="dcterms:W3CDTF">2026-10-15T01:20:00Z</dcterms:created>
  <dcterms:modified xsi:type="dcterms:W3CDTF">2026-10-15T01:25:00Z</dcterms:modified>
</cp:coreProperties>
</file>