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Rule="exact" w:line="480" w:before="0" w:after="0"/>
        <w:jc w:val="center"/>
      </w:pPr>
      <w:r>
        <w:rPr>
          <w:rFonts w:ascii="Times New Roman" w:hAnsi="Times New Roman" w:eastAsia="黑体"/>
          <w:b/>
          <w:color w:val="202A33"/>
          <w:sz w:val="32"/>
        </w:rPr>
        <w:t>参赛队编号：____________</w:t>
      </w:r>
    </w:p>
    <w:p>
      <w:r>
        <w:br w:type="page"/>
      </w:r>
    </w:p>
    <w:p>
      <w:pPr>
        <w:keepNext w:val="0"/>
        <w:spacing w:lineRule="exact" w:line="440" w:before="0" w:after="360"/>
        <w:jc w:val="both"/>
      </w:pPr>
    </w:p>
    <w:p>
      <w:pPr>
        <w:keepNext w:val="0"/>
        <w:spacing w:lineRule="exact" w:line="600" w:before="0" w:after="100"/>
        <w:jc w:val="center"/>
      </w:pPr>
      <w:r>
        <w:rPr>
          <w:rFonts w:ascii="Times New Roman" w:hAnsi="Times New Roman" w:eastAsia="黑体"/>
          <w:b/>
          <w:color w:val="202A33"/>
          <w:sz w:val="40"/>
        </w:rPr>
        <w:t>2026 年全国大学生电子设计竞赛</w:t>
      </w:r>
    </w:p>
    <w:p>
      <w:pPr>
        <w:keepNext w:val="0"/>
        <w:spacing w:lineRule="exact" w:line="500" w:before="0" w:after="440"/>
        <w:jc w:val="center"/>
      </w:pPr>
      <w:r>
        <w:rPr>
          <w:rFonts w:ascii="Times New Roman" w:hAnsi="Times New Roman" w:eastAsia="黑体"/>
          <w:b/>
          <w:color w:val="202A33"/>
          <w:sz w:val="31"/>
        </w:rPr>
        <w:t>河南赛区赛题模拟电子系统设计专题赛选拔赛</w:t>
      </w:r>
    </w:p>
    <w:p>
      <w:pPr>
        <w:keepNext w:val="0"/>
        <w:spacing w:lineRule="exact" w:line="520" w:before="0" w:after="240"/>
        <w:jc w:val="center"/>
      </w:pPr>
      <w:r>
        <w:rPr>
          <w:rFonts w:ascii="Times New Roman" w:hAnsi="Times New Roman" w:eastAsia="黑体"/>
          <w:b/>
          <w:color w:val="202A33"/>
          <w:sz w:val="36"/>
        </w:rPr>
        <w:t>(H 题)</w:t>
      </w:r>
    </w:p>
    <w:p>
      <w:pPr>
        <w:keepNext w:val="0"/>
        <w:spacing w:lineRule="exact" w:line="520" w:before="0" w:after="480"/>
        <w:jc w:val="center"/>
      </w:pPr>
      <w:r>
        <w:rPr>
          <w:rFonts w:ascii="Times New Roman" w:hAnsi="Times New Roman" w:eastAsia="黑体"/>
          <w:b/>
          <w:color w:val="C00000"/>
          <w:sz w:val="36"/>
        </w:rPr>
        <w:t>【本科组】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27999" cy="679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ion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7999" cy="67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exact" w:line="440" w:before="0" w:after="300"/>
        <w:jc w:val="both"/>
      </w:pPr>
    </w:p>
    <w:p>
      <w:pPr>
        <w:keepNext w:val="0"/>
        <w:spacing w:lineRule="exact" w:line="480" w:before="0" w:after="0"/>
        <w:jc w:val="center"/>
      </w:pPr>
      <w:r>
        <w:rPr>
          <w:rFonts w:ascii="Times New Roman" w:hAnsi="Times New Roman" w:eastAsia="宋体"/>
          <w:b/>
          <w:color w:val="202A33"/>
          <w:sz w:val="28"/>
        </w:rPr>
        <w:t>2026 年 8 月 1 日</w:t>
      </w:r>
    </w:p>
    <w:p>
      <w:r>
        <w:br w:type="page"/>
      </w:r>
    </w:p>
    <w:p>
      <w:pPr>
        <w:keepNext w:val="0"/>
        <w:spacing w:lineRule="exact" w:line="560" w:before="0" w:after="200"/>
        <w:jc w:val="center"/>
      </w:pPr>
      <w:r>
        <w:rPr>
          <w:rFonts w:ascii="Times New Roman" w:hAnsi="Times New Roman" w:eastAsia="黑体"/>
          <w:b/>
          <w:color w:val="1F3A5F"/>
          <w:sz w:val="36"/>
        </w:rPr>
        <w:t>车载平衡滚球运动控制系统</w:t>
      </w:r>
    </w:p>
    <w:p>
      <w:pPr>
        <w:keepNext/>
        <w:spacing w:lineRule="exact" w:line="440" w:before="0" w:after="80"/>
        <w:jc w:val="left"/>
      </w:pPr>
      <w:r>
        <w:rPr>
          <w:rFonts w:ascii="Times New Roman" w:hAnsi="Times New Roman" w:eastAsia="黑体"/>
          <w:b/>
          <w:color w:val="1F3A5F"/>
          <w:sz w:val="32"/>
        </w:rPr>
        <w:t>摘  要</w:t>
      </w:r>
    </w:p>
    <w:p>
      <w:pPr>
        <w:keepNext w:val="0"/>
        <w:spacing w:lineRule="exact" w:line="440" w:before="0" w:after="12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本系统以STM32F407VET6为主控，完成普通轮式小车循迹与车载单自由度滚球控制。小车采用四路红外数字传感器、增量编码器及左右轮速度PI闭环，通过路线状态识别、弯道限速和丢线保向提高连续过弯能力。滚球装置以摄像头获取钢球像素坐标，经左—中—右三点分段标定转换为毫米位置，由单步进电机齿条机构调节管道倾角。控制端引入速度阻尼、静摩擦起动补偿、加速度斜坡、300 ms视觉超时和执行器软限位。阶段测试已完成红外、编码器、视觉与步进执行链路闭环验证；循迹典型最短单圈记录为40.42 s，滚球序列控制的阶段终点误差约10 mm。</w:t>
      </w:r>
    </w:p>
    <w:p>
      <w:pPr>
        <w:keepNext w:val="0"/>
        <w:spacing w:lineRule="exact" w:line="440" w:before="0" w:after="160"/>
        <w:jc w:val="left"/>
      </w:pPr>
      <w:r>
        <w:rPr>
          <w:rFonts w:ascii="Times New Roman" w:hAnsi="Times New Roman" w:eastAsia="黑体"/>
          <w:b/>
          <w:color w:val="1F3A5F"/>
          <w:sz w:val="24"/>
        </w:rPr>
        <w:t>关键词：</w:t>
      </w:r>
      <w:r>
        <w:rPr>
          <w:rFonts w:ascii="Times New Roman" w:hAnsi="Times New Roman" w:eastAsia="宋体"/>
          <w:b w:val="0"/>
          <w:color w:val="202A33"/>
          <w:sz w:val="24"/>
        </w:rPr>
        <w:t>差速循迹；车载滚球；视觉标定；步进电机；状态机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系统特征摘要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2AF"/>
          <w:left w:val="single" w:sz="4" w:color="8FA2AF"/>
          <w:bottom w:val="single" w:sz="6" w:color="8FA2AF"/>
          <w:right w:val="single" w:sz="4" w:color="8FA2AF"/>
          <w:insideH w:val="single" w:sz="4" w:color="8FA2AF"/>
          <w:insideV w:val="single" w:sz="4" w:color="8FA2AF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474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20"/>
              </w:rPr>
              <w:t>维度</w:t>
            </w:r>
          </w:p>
        </w:tc>
        <w:tc>
          <w:tcPr>
            <w:tcW w:type="dxa" w:w="4762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20"/>
              </w:rPr>
              <w:t>实现方法</w:t>
            </w:r>
          </w:p>
        </w:tc>
        <w:tc>
          <w:tcPr>
            <w:tcW w:type="dxa" w:w="2948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20"/>
              </w:rPr>
              <w:t>关键约束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主控</w:t>
            </w:r>
          </w:p>
        </w:tc>
        <w:tc>
          <w:tcPr>
            <w:tcW w:type="dxa" w:w="476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STM32F407VET6单芯片统一调度</w:t>
            </w:r>
          </w:p>
        </w:tc>
        <w:tc>
          <w:tcPr>
            <w:tcW w:type="dxa" w:w="294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10/20 ms确定性周期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循迹</w:t>
            </w:r>
          </w:p>
        </w:tc>
        <w:tc>
          <w:tcPr>
            <w:tcW w:type="dxa" w:w="476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S1–S4四路数字红外+双编码器</w:t>
            </w:r>
          </w:p>
        </w:tc>
        <w:tc>
          <w:tcPr>
            <w:tcW w:type="dxa" w:w="294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弯道限速，丢线停车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滚球测量</w:t>
            </w:r>
          </w:p>
        </w:tc>
        <w:tc>
          <w:tcPr>
            <w:tcW w:type="dxa" w:w="476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K230输出[x,y] ASCII，STM32仅取x</w:t>
            </w:r>
          </w:p>
        </w:tc>
        <w:tc>
          <w:tcPr>
            <w:tcW w:type="dxa" w:w="294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9600 bit/s，中断接收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执行</w:t>
            </w:r>
          </w:p>
        </w:tc>
        <w:tc>
          <w:tcPr>
            <w:tcW w:type="dxa" w:w="476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STEP/DIR单步进齿条调倾</w:t>
            </w:r>
          </w:p>
        </w:tc>
        <w:tc>
          <w:tcPr>
            <w:tcW w:type="dxa" w:w="294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正负摩擦不对称</w:t>
            </w:r>
          </w:p>
        </w:tc>
      </w:tr>
      <w:tr>
        <w:trPr>
          <w:cantSplit/>
        </w:trPr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安全</w:t>
            </w:r>
          </w:p>
        </w:tc>
        <w:tc>
          <w:tcPr>
            <w:tcW w:type="dxa" w:w="476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急停、超时、软限位、版本回退</w:t>
            </w:r>
          </w:p>
        </w:tc>
        <w:tc>
          <w:tcPr>
            <w:tcW w:type="dxa" w:w="294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20"/>
              </w:rPr>
              <w:t>故障时立即停止脉冲</w:t>
            </w:r>
          </w:p>
        </w:tc>
      </w:tr>
    </w:tbl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表1  系统技术路线概览</w:t>
      </w:r>
    </w:p>
    <w:p>
      <w:r>
        <w:br w:type="page"/>
      </w:r>
    </w:p>
    <w:p>
      <w:pPr>
        <w:keepNext w:val="0"/>
        <w:spacing w:lineRule="exact" w:line="560" w:before="0" w:after="280"/>
        <w:jc w:val="center"/>
      </w:pPr>
      <w:r>
        <w:rPr>
          <w:rFonts w:ascii="Times New Roman" w:hAnsi="Times New Roman" w:eastAsia="黑体"/>
          <w:b/>
          <w:color w:val="1F3A5F"/>
          <w:sz w:val="36"/>
        </w:rPr>
        <w:t>目  录</w:t>
      </w:r>
    </w:p>
    <w:p>
      <w:pPr>
        <w:keepNext w:val="0"/>
        <w:tabs>
          <w:tab w:pos="8731" w:val="right" w:leader="dot"/>
        </w:tabs>
        <w:spacing w:lineRule="exact" w:line="480" w:before="0" w:after="40"/>
        <w:ind w:left="0"/>
        <w:jc w:val="left"/>
      </w:pPr>
      <w:r>
        <w:rPr>
          <w:rFonts w:ascii="Times New Roman" w:hAnsi="Times New Roman" w:eastAsia="黑体"/>
          <w:b/>
          <w:color w:val="1F3A5F"/>
          <w:sz w:val="24"/>
        </w:rPr>
        <w:t>摘要</w:t>
        <w:tab/>
        <w:t>3</w:t>
      </w:r>
    </w:p>
    <w:p>
      <w:pPr>
        <w:keepNext w:val="0"/>
        <w:tabs>
          <w:tab w:pos="8731" w:val="right" w:leader="dot"/>
        </w:tabs>
        <w:spacing w:lineRule="exact" w:line="480" w:before="0" w:after="40"/>
        <w:ind w:left="0"/>
        <w:jc w:val="left"/>
      </w:pPr>
      <w:r>
        <w:rPr>
          <w:rFonts w:ascii="Times New Roman" w:hAnsi="Times New Roman" w:eastAsia="黑体"/>
          <w:b/>
          <w:color w:val="1F3A5F"/>
          <w:sz w:val="24"/>
        </w:rPr>
        <w:t>1  系统方案与总体设计</w:t>
        <w:tab/>
        <w:t>5</w:t>
      </w:r>
    </w:p>
    <w:p>
      <w:pPr>
        <w:keepNext w:val="0"/>
        <w:tabs>
          <w:tab w:pos="8731" w:val="right" w:leader="dot"/>
        </w:tabs>
        <w:spacing w:lineRule="exact" w:line="420" w:before="0" w:after="40"/>
        <w:ind w:left="369"/>
        <w:jc w:val="left"/>
      </w:pPr>
      <w:r>
        <w:rPr>
          <w:rFonts w:ascii="Times New Roman" w:hAnsi="Times New Roman" w:eastAsia="宋体"/>
          <w:b w:val="0"/>
          <w:color w:val="202A33"/>
          <w:sz w:val="23"/>
        </w:rPr>
        <w:t>1.1  需求分解与总体架构</w:t>
        <w:tab/>
        <w:t>5</w:t>
      </w:r>
    </w:p>
    <w:p>
      <w:pPr>
        <w:keepNext w:val="0"/>
        <w:tabs>
          <w:tab w:pos="8731" w:val="right" w:leader="dot"/>
        </w:tabs>
        <w:spacing w:lineRule="exact" w:line="420" w:before="0" w:after="40"/>
        <w:ind w:left="369"/>
        <w:jc w:val="left"/>
      </w:pPr>
      <w:r>
        <w:rPr>
          <w:rFonts w:ascii="Times New Roman" w:hAnsi="Times New Roman" w:eastAsia="宋体"/>
          <w:b w:val="0"/>
          <w:color w:val="202A33"/>
          <w:sz w:val="23"/>
        </w:rPr>
        <w:t>1.2  关键工程策略</w:t>
        <w:tab/>
        <w:t>5</w:t>
      </w:r>
    </w:p>
    <w:p>
      <w:pPr>
        <w:keepNext w:val="0"/>
        <w:tabs>
          <w:tab w:pos="8731" w:val="right" w:leader="dot"/>
        </w:tabs>
        <w:spacing w:lineRule="exact" w:line="480" w:before="0" w:after="40"/>
        <w:ind w:left="0"/>
        <w:jc w:val="left"/>
      </w:pPr>
      <w:r>
        <w:rPr>
          <w:rFonts w:ascii="Times New Roman" w:hAnsi="Times New Roman" w:eastAsia="黑体"/>
          <w:b/>
          <w:color w:val="1F3A5F"/>
          <w:sz w:val="24"/>
        </w:rPr>
        <w:t>2  红外循迹与差速运动控制</w:t>
        <w:tab/>
        <w:t>6</w:t>
      </w:r>
    </w:p>
    <w:p>
      <w:pPr>
        <w:keepNext w:val="0"/>
        <w:tabs>
          <w:tab w:pos="8731" w:val="right" w:leader="dot"/>
        </w:tabs>
        <w:spacing w:lineRule="exact" w:line="480" w:before="0" w:after="40"/>
        <w:ind w:left="0"/>
        <w:jc w:val="left"/>
      </w:pPr>
      <w:r>
        <w:rPr>
          <w:rFonts w:ascii="Times New Roman" w:hAnsi="Times New Roman" w:eastAsia="黑体"/>
          <w:b/>
          <w:color w:val="1F3A5F"/>
          <w:sz w:val="24"/>
        </w:rPr>
        <w:t>3  单自由度滚球机构与动力学</w:t>
        <w:tab/>
        <w:t>7</w:t>
      </w:r>
    </w:p>
    <w:p>
      <w:pPr>
        <w:keepNext w:val="0"/>
        <w:tabs>
          <w:tab w:pos="8731" w:val="right" w:leader="dot"/>
        </w:tabs>
        <w:spacing w:lineRule="exact" w:line="480" w:before="0" w:after="40"/>
        <w:ind w:left="0"/>
        <w:jc w:val="left"/>
      </w:pPr>
      <w:r>
        <w:rPr>
          <w:rFonts w:ascii="Times New Roman" w:hAnsi="Times New Roman" w:eastAsia="黑体"/>
          <w:b/>
          <w:color w:val="1F3A5F"/>
          <w:sz w:val="24"/>
        </w:rPr>
        <w:t>4  视觉测量、标定与串口链路</w:t>
        <w:tab/>
        <w:t>8</w:t>
      </w:r>
    </w:p>
    <w:p>
      <w:pPr>
        <w:keepNext w:val="0"/>
        <w:tabs>
          <w:tab w:pos="8731" w:val="right" w:leader="dot"/>
        </w:tabs>
        <w:spacing w:lineRule="exact" w:line="480" w:before="0" w:after="40"/>
        <w:ind w:left="0"/>
        <w:jc w:val="left"/>
      </w:pPr>
      <w:r>
        <w:rPr>
          <w:rFonts w:ascii="Times New Roman" w:hAnsi="Times New Roman" w:eastAsia="黑体"/>
          <w:b/>
          <w:color w:val="1F3A5F"/>
          <w:sz w:val="24"/>
        </w:rPr>
        <w:t>5  滚球闭环控制与题3状态机</w:t>
        <w:tab/>
        <w:t>9</w:t>
      </w:r>
    </w:p>
    <w:p>
      <w:pPr>
        <w:keepNext w:val="0"/>
        <w:tabs>
          <w:tab w:pos="8731" w:val="right" w:leader="dot"/>
        </w:tabs>
        <w:spacing w:lineRule="exact" w:line="480" w:before="0" w:after="40"/>
        <w:ind w:left="0"/>
        <w:jc w:val="left"/>
      </w:pPr>
      <w:r>
        <w:rPr>
          <w:rFonts w:ascii="Times New Roman" w:hAnsi="Times New Roman" w:eastAsia="黑体"/>
          <w:b/>
          <w:color w:val="1F3A5F"/>
          <w:sz w:val="24"/>
        </w:rPr>
        <w:t>6  硬件接口、软件结构与安全设计</w:t>
        <w:tab/>
        <w:t>10</w:t>
      </w:r>
    </w:p>
    <w:p>
      <w:pPr>
        <w:keepNext w:val="0"/>
        <w:tabs>
          <w:tab w:pos="8731" w:val="right" w:leader="dot"/>
        </w:tabs>
        <w:spacing w:lineRule="exact" w:line="480" w:before="0" w:after="40"/>
        <w:ind w:left="0"/>
        <w:jc w:val="left"/>
      </w:pPr>
      <w:r>
        <w:rPr>
          <w:rFonts w:ascii="Times New Roman" w:hAnsi="Times New Roman" w:eastAsia="黑体"/>
          <w:b/>
          <w:color w:val="1F3A5F"/>
          <w:sz w:val="24"/>
        </w:rPr>
        <w:t>7  系统测试与结果分析</w:t>
        <w:tab/>
        <w:t>11</w:t>
      </w:r>
    </w:p>
    <w:p>
      <w:pPr>
        <w:keepNext w:val="0"/>
        <w:tabs>
          <w:tab w:pos="8731" w:val="right" w:leader="dot"/>
        </w:tabs>
        <w:spacing w:lineRule="exact" w:line="480" w:before="0" w:after="40"/>
        <w:ind w:left="0"/>
        <w:jc w:val="left"/>
      </w:pPr>
      <w:r>
        <w:rPr>
          <w:rFonts w:ascii="Times New Roman" w:hAnsi="Times New Roman" w:eastAsia="黑体"/>
          <w:b/>
          <w:color w:val="1F3A5F"/>
          <w:sz w:val="24"/>
        </w:rPr>
        <w:t>8  误差来源、改进路径与结论</w:t>
        <w:tab/>
        <w:t>12</w:t>
      </w:r>
    </w:p>
    <w:p>
      <w:pPr>
        <w:keepNext w:val="0"/>
        <w:tabs>
          <w:tab w:pos="8731" w:val="right" w:leader="dot"/>
        </w:tabs>
        <w:spacing w:lineRule="exact" w:line="480" w:before="0" w:after="40"/>
        <w:ind w:left="0"/>
        <w:jc w:val="left"/>
      </w:pPr>
      <w:r>
        <w:rPr>
          <w:rFonts w:ascii="Times New Roman" w:hAnsi="Times New Roman" w:eastAsia="黑体"/>
          <w:b/>
          <w:color w:val="1F3A5F"/>
          <w:sz w:val="24"/>
        </w:rPr>
        <w:t>参考文献</w:t>
        <w:tab/>
        <w:t>12</w:t>
      </w:r>
    </w:p>
    <w:p>
      <w:r>
        <w:br w:type="page"/>
      </w:r>
    </w:p>
    <w:p>
      <w:pPr>
        <w:keepNext/>
        <w:spacing w:lineRule="exact" w:line="440" w:before="0" w:after="80"/>
        <w:jc w:val="left"/>
      </w:pPr>
      <w:r>
        <w:rPr>
          <w:rFonts w:ascii="Times New Roman" w:hAnsi="Times New Roman" w:eastAsia="黑体"/>
          <w:b/>
          <w:color w:val="1F3A5F"/>
          <w:sz w:val="32"/>
        </w:rPr>
        <w:t>1  系统方案与总体设计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1.1  需求分解与总体架构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赛题同时要求小车沿地面黑线运动，以及车载装置对管内钢球进行定点和序列控制。两个子系统的时标相差明显：循迹需要稳定的20 ms闭环和连续轮速输出，滚球则需要更快的10 ms位置—速度闭环。本设计使用一块STM32F407VET6进行确定性时序调度，K230仅承担钢球视觉检测和图传，不直接驱动执行器。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4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图1  整车感知—决策—执行架构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1.2  关键工程策略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2AF"/>
          <w:left w:val="single" w:sz="4" w:color="8FA2AF"/>
          <w:bottom w:val="single" w:sz="6" w:color="8FA2AF"/>
          <w:right w:val="single" w:sz="4" w:color="8FA2AF"/>
          <w:insideH w:val="single" w:sz="4" w:color="8FA2AF"/>
          <w:insideV w:val="single" w:sz="4" w:color="8FA2AF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324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问题</w:t>
            </w:r>
          </w:p>
        </w:tc>
        <w:tc>
          <w:tcPr>
            <w:tcW w:type="dxa" w:w="4195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解决方法</w:t>
            </w:r>
          </w:p>
        </w:tc>
        <w:tc>
          <w:tcPr>
            <w:tcW w:type="dxa" w:w="2665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设计收益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直线与弯道对速度需求相反</w:t>
            </w:r>
          </w:p>
        </w:tc>
        <w:tc>
          <w:tcPr>
            <w:tcW w:type="dxa" w:w="419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按红外模式和路程分段调度基速</w:t>
            </w:r>
          </w:p>
        </w:tc>
        <w:tc>
          <w:tcPr>
            <w:tcW w:type="dxa" w:w="26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弯道不再因外侧单点压线而突然加速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左右视野尺度不一致</w:t>
            </w:r>
          </w:p>
        </w:tc>
        <w:tc>
          <w:tcPr>
            <w:tcW w:type="dxa" w:w="419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左—中—右三点分段线性标定</w:t>
            </w:r>
          </w:p>
        </w:tc>
        <w:tc>
          <w:tcPr>
            <w:tcW w:type="dxa" w:w="26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保证中点0 mm，避免单比例引入偏置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齿条执行存在静摩擦</w:t>
            </w:r>
          </w:p>
        </w:tc>
        <w:tc>
          <w:tcPr>
            <w:tcW w:type="dxa" w:w="419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正负方向分别补偿+加速度斜坡</w:t>
            </w:r>
          </w:p>
        </w:tc>
        <w:tc>
          <w:tcPr>
            <w:tcW w:type="dxa" w:w="26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能起动且减少过冲</w:t>
            </w:r>
          </w:p>
        </w:tc>
      </w:tr>
      <w:tr>
        <w:trPr>
          <w:cantSplit/>
        </w:trPr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调参容易退化</w:t>
            </w:r>
          </w:p>
        </w:tc>
        <w:tc>
          <w:tcPr>
            <w:tcW w:type="dxa" w:w="419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每次仅改一类参数，保留可回退版本</w:t>
            </w:r>
          </w:p>
        </w:tc>
        <w:tc>
          <w:tcPr>
            <w:tcW w:type="dxa" w:w="26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快速恢复已知可用状态</w:t>
            </w:r>
          </w:p>
        </w:tc>
      </w:tr>
    </w:tbl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表2  系统的约束驱动型设计</w:t>
      </w:r>
    </w:p>
    <w:p>
      <w:r>
        <w:br w:type="page"/>
      </w:r>
    </w:p>
    <w:p>
      <w:pPr>
        <w:keepNext/>
        <w:spacing w:lineRule="exact" w:line="440" w:before="0" w:after="80"/>
        <w:jc w:val="left"/>
      </w:pPr>
      <w:r>
        <w:rPr>
          <w:rFonts w:ascii="Times New Roman" w:hAnsi="Times New Roman" w:eastAsia="黑体"/>
          <w:b/>
          <w:color w:val="1F3A5F"/>
          <w:sz w:val="32"/>
        </w:rPr>
        <w:t>2  红外循迹与差速运动控制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四路红外模块从车身左到右依次为S1–S4，白纸输出0，黑线输出1。程序不将“中心”等同于固定的0110：实车直线时常仅S2或S3单点压线，因此0100、0010也划入可加速的中心态；1000和0001则明确判定为大偏差，优先降速与转向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4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strate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图2  四路红外模式分类与速度调度</w:t>
      </w:r>
    </w:p>
    <w:p>
      <w:pPr>
        <w:keepNext w:val="0"/>
        <w:spacing w:lineRule="exact" w:line="380" w:before="40" w:after="40"/>
        <w:jc w:val="center"/>
      </w:pPr>
      <w:r>
        <w:rPr>
          <w:rFonts w:ascii="Cambria Math" w:hAnsi="Cambria Math" w:eastAsia="Cambria Math"/>
          <w:b w:val="0"/>
          <w:color w:val="1F3A5F"/>
          <w:sz w:val="23"/>
        </w:rPr>
        <w:t>e = (Σwᵢbᵢ)/(Σbᵢ)，w=[-3,-1,+1,+3]；  u = Kₚ e + Kᵈ(e-eₖ)</w:t>
      </w:r>
    </w:p>
    <w:p>
      <w:pPr>
        <w:keepNext w:val="0"/>
        <w:spacing w:lineRule="exact" w:line="380" w:before="40" w:after="40"/>
        <w:jc w:val="center"/>
      </w:pPr>
      <w:r>
        <w:rPr>
          <w:rFonts w:ascii="Cambria Math" w:hAnsi="Cambria Math" w:eastAsia="Cambria Math"/>
          <w:b w:val="0"/>
          <w:color w:val="1F3A5F"/>
          <w:sz w:val="23"/>
        </w:rPr>
        <w:t>vₗ = vᵇ - u，  vᵣ = vᵇ + u；  vᵇ = f(红外模式，路程，丢线持续时间)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左右轮由增量编码器构成速度PI内环，前进方向脉冲均为正。路线层在进入固定弯道前依据编码器里程提前减速，并采用2/4的加速/减速步长保证速度连续；丢线时短时保持上一次转向以搜线，超过30个控制周期则停车。该策略直接针对“弯道冲出、直线左右摆动和速度一快一慢”三类现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2AF"/>
          <w:left w:val="single" w:sz="4" w:color="8FA2AF"/>
          <w:bottom w:val="single" w:sz="6" w:color="8FA2AF"/>
          <w:right w:val="single" w:sz="4" w:color="8FA2AF"/>
          <w:insideH w:val="single" w:sz="4" w:color="8FA2AF"/>
          <w:insideV w:val="single" w:sz="4" w:color="8FA2AF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381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模式</w:t>
            </w:r>
          </w:p>
        </w:tc>
        <w:tc>
          <w:tcPr>
            <w:tcW w:type="dxa" w:w="4082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控制意图</w:t>
            </w:r>
          </w:p>
        </w:tc>
        <w:tc>
          <w:tcPr>
            <w:tcW w:type="dxa" w:w="2721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实现约束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0110/0100/0010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中心保持，允许较高基速</w:t>
            </w:r>
          </w:p>
        </w:tc>
        <w:tc>
          <w:tcPr>
            <w:tcW w:type="dxa" w:w="272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转向量限幅防抖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1000/0001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大偏差抢救，降速转向</w:t>
            </w:r>
          </w:p>
        </w:tc>
        <w:tc>
          <w:tcPr>
            <w:tcW w:type="dxa" w:w="272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外侧单点绝不加速</w:t>
            </w:r>
          </w:p>
        </w:tc>
      </w:tr>
      <w:tr>
        <w:trPr>
          <w:cantSplit/>
        </w:trPr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0000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按最后方向低速搜线</w:t>
            </w:r>
          </w:p>
        </w:tc>
        <w:tc>
          <w:tcPr>
            <w:tcW w:type="dxa" w:w="272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600 ms未恢复即停车</w:t>
            </w:r>
          </w:p>
        </w:tc>
      </w:tr>
    </w:tbl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表3  四路模式到差速控制意图的映射</w:t>
      </w:r>
    </w:p>
    <w:p>
      <w:r>
        <w:br w:type="page"/>
      </w:r>
    </w:p>
    <w:p>
      <w:pPr>
        <w:keepNext/>
        <w:spacing w:lineRule="exact" w:line="440" w:before="0" w:after="80"/>
        <w:jc w:val="left"/>
      </w:pPr>
      <w:r>
        <w:rPr>
          <w:rFonts w:ascii="Times New Roman" w:hAnsi="Times New Roman" w:eastAsia="黑体"/>
          <w:b/>
          <w:color w:val="1F3A5F"/>
          <w:sz w:val="32"/>
        </w:rPr>
        <w:t>3  单自由度滚球机构与动力学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3.1  机械结构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滚球管总长250 mm，中点O定义为坐标原点，向车尾为正。车头端作固定转动支点，车尾端由一台步进电机通过齿轮—齿条机构升降。单执行器只需控制管道纵向倾角，结构简单、可用行程大，但存在塑料齿条弹性、回差和正负向静摩擦不对称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55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l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图3  单步进齿条滚球机构及坐标约定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3.2  小角度动力学与标定</w:t>
      </w:r>
    </w:p>
    <w:p>
      <w:pPr>
        <w:keepNext w:val="0"/>
        <w:spacing w:lineRule="exact" w:line="380" w:before="40" w:after="40"/>
        <w:jc w:val="center"/>
      </w:pPr>
      <w:r>
        <w:rPr>
          <w:rFonts w:ascii="Cambria Math" w:hAnsi="Cambria Math" w:eastAsia="Cambria Math"/>
          <w:b w:val="0"/>
          <w:color w:val="1F3A5F"/>
          <w:sz w:val="23"/>
        </w:rPr>
        <w:t>ẍ = (5/7)g sinα ≈ (5/7)gα（|α|较小）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对实物进行手动微动标定：+80步时管道角度约为-0.27°，-80步时约为+0.35°，等效灵敏度约260步/度。小指令无法启动机构，正、负向最小有效补偿约为288步和253步。因此控制量由“线性PD项+方向相关起动补偿”组成，而不是单纯提高比例增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2AF"/>
          <w:left w:val="single" w:sz="4" w:color="8FA2AF"/>
          <w:bottom w:val="single" w:sz="6" w:color="8FA2AF"/>
          <w:right w:val="single" w:sz="4" w:color="8FA2AF"/>
          <w:insideH w:val="single" w:sz="4" w:color="8FA2AF"/>
          <w:insideV w:val="single" w:sz="4" w:color="8FA2AF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835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标定项</w:t>
            </w:r>
          </w:p>
        </w:tc>
        <w:tc>
          <w:tcPr>
            <w:tcW w:type="dxa" w:w="2835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实测值</w:t>
            </w:r>
          </w:p>
        </w:tc>
        <w:tc>
          <w:tcPr>
            <w:tcW w:type="dxa" w:w="3515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9"/>
              </w:rPr>
              <w:t>控制用途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管长/坐标范围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250 mm / -125∼+125 mm</w:t>
            </w:r>
          </w:p>
        </w:tc>
        <w:tc>
          <w:tcPr>
            <w:tcW w:type="dxa" w:w="351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定义题目位置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角度灵敏度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约260步/度</w:t>
            </w:r>
          </w:p>
        </w:tc>
        <w:tc>
          <w:tcPr>
            <w:tcW w:type="dxa" w:w="351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限制管道瞬时倾角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正/负向起动补偿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+288 / -253步</w:t>
            </w:r>
          </w:p>
        </w:tc>
        <w:tc>
          <w:tcPr>
            <w:tcW w:type="dxa" w:w="351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克服静摩擦死区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执行器软限位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±420步</w:t>
            </w:r>
          </w:p>
        </w:tc>
        <w:tc>
          <w:tcPr>
            <w:tcW w:type="dxa" w:w="351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9"/>
              </w:rPr>
              <w:t>防止齿条撞击行程端</w:t>
            </w:r>
          </w:p>
        </w:tc>
      </w:tr>
    </w:tbl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表4  滚球机构标定参数</w:t>
      </w:r>
    </w:p>
    <w:p>
      <w:r>
        <w:br w:type="page"/>
      </w:r>
    </w:p>
    <w:p>
      <w:pPr>
        <w:keepNext/>
        <w:spacing w:lineRule="exact" w:line="440" w:before="0" w:after="80"/>
        <w:jc w:val="left"/>
      </w:pPr>
      <w:r>
        <w:rPr>
          <w:rFonts w:ascii="Times New Roman" w:hAnsi="Times New Roman" w:eastAsia="黑体"/>
          <w:b/>
          <w:color w:val="1F3A5F"/>
          <w:sz w:val="32"/>
        </w:rPr>
        <w:t>4  视觉测量、标定与串口链路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4.1  三点分段标定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摄像头固定在管道上方，K230识别钢球中心并给出像素坐标(x,y)。试验按键依次将球放在左端、中点和右端，每点连续取样后确认。本车标定值为37 px、351 px、658 px。由于镜头透视和安装偏心，左右像素尺度不完全相同，故以中点为分界做分段线性映射。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图4  像素坐标到管道毫米坐标的三点标定</w:t>
      </w:r>
    </w:p>
    <w:p>
      <w:pPr>
        <w:keepNext w:val="0"/>
        <w:spacing w:lineRule="exact" w:line="380" w:before="40" w:after="40"/>
        <w:jc w:val="center"/>
      </w:pPr>
      <w:r>
        <w:rPr>
          <w:rFonts w:ascii="Cambria Math" w:hAnsi="Cambria Math" w:eastAsia="Cambria Math"/>
          <w:b w:val="0"/>
          <w:color w:val="1F3A5F"/>
          <w:sz w:val="23"/>
        </w:rPr>
        <w:t>xₘₘ={-125+(p-37)·125/(351-37), p≤351;  (p-351)·125/(658-351), p&gt;351}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4.2  最小数据串与异步接收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K230与STM32采用3.3 V TTL串口，K230 40Pin排针第11脚GPIO5/TX连STM32 PA3/USART2_RX，并共地。通信参数为9600 bit/s、8数据位、无校验、1停止位。视觉端只发送必要的ASCII数据串“[x,y]\r\n”，主控仅取x参与闭环；y用于调试而不进入控制律。USART2在接收中断内逐字节入环形缓冲，主循环仅进行非阻塞解析，从而避免OLED和视频显示卡顿拖慢控制周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2AF"/>
          <w:left w:val="single" w:sz="4" w:color="8FA2AF"/>
          <w:bottom w:val="single" w:sz="6" w:color="8FA2AF"/>
          <w:right w:val="single" w:sz="4" w:color="8FA2AF"/>
          <w:insideH w:val="single" w:sz="4" w:color="8FA2AF"/>
          <w:insideV w:val="single" w:sz="4" w:color="8FA2AF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268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链路状态</w:t>
            </w:r>
          </w:p>
        </w:tc>
        <w:tc>
          <w:tcPr>
            <w:tcW w:type="dxa" w:w="3458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判定</w:t>
            </w:r>
          </w:p>
        </w:tc>
        <w:tc>
          <w:tcPr>
            <w:tcW w:type="dxa" w:w="3458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正常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VALID=1，AGE&lt;300 ms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更新位置与估计速度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短暂波动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偶发丢帧，AGE尚未超时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保留最后有效状态，不突变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视觉失效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VALID=0或AGE≥300 ms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停止STEP脉冲，进入VISION LOST</w:t>
            </w:r>
          </w:p>
        </w:tc>
      </w:tr>
    </w:tbl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表5  视觉链路时效判定与安全处理</w:t>
      </w:r>
    </w:p>
    <w:p>
      <w:r>
        <w:br w:type="page"/>
      </w:r>
    </w:p>
    <w:p>
      <w:pPr>
        <w:keepNext/>
        <w:spacing w:lineRule="exact" w:line="440" w:before="0" w:after="80"/>
        <w:jc w:val="left"/>
      </w:pPr>
      <w:r>
        <w:rPr>
          <w:rFonts w:ascii="Times New Roman" w:hAnsi="Times New Roman" w:eastAsia="黑体"/>
          <w:b/>
          <w:color w:val="1F3A5F"/>
          <w:sz w:val="32"/>
        </w:rPr>
        <w:t>5  滚球闭环控制与题3状态机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5.1  位置—速度控制律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钢球系统具有惯性和延迟，只用位置比例项会在目标附近往复穿越。因此以像素转换的位置x为状态，对相邻帧差分得到速度v，用PD项产生执行器位置目标。当球静止且与目标距离较大时，输出一次确定方向的起动补偿；接近目标后通过速度项预先刹车。</w:t>
      </w:r>
    </w:p>
    <w:p>
      <w:pPr>
        <w:keepNext w:val="0"/>
        <w:spacing w:lineRule="exact" w:line="380" w:before="40" w:after="40"/>
        <w:jc w:val="center"/>
      </w:pPr>
      <w:r>
        <w:rPr>
          <w:rFonts w:ascii="Cambria Math" w:hAnsi="Cambria Math" w:eastAsia="Cambria Math"/>
          <w:b w:val="0"/>
          <w:color w:val="1F3A5F"/>
          <w:sz w:val="23"/>
        </w:rPr>
        <w:t>e=x-x*；  s*=sat[Kₚ e+Kᵥ v+uₑ, ±380]；  ṡ=rate_limit(s*-s)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49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_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图5  调平、中心保持、题3序列与故障状态机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5.2  题3序列控制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在READY状态按SW1后，目标从0 mm切换到+50 mm；球进入±10 mm到达带后，目标切换为-50 mm；最终需连续3帧处于到达带且|v|≤5 mm/s才判定完成。运动速度上限1000 step/s，每10 ms最多变化100 step/s，正常计时上限5 s，7 s未完成时强制中止。本策略将“到位”与“静止”分开判断，避免钢球穿越目标时误触发下一阶段。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2AF"/>
          <w:left w:val="single" w:sz="4" w:color="8FA2AF"/>
          <w:bottom w:val="single" w:sz="6" w:color="8FA2AF"/>
          <w:right w:val="single" w:sz="4" w:color="8FA2AF"/>
          <w:insideH w:val="single" w:sz="4" w:color="8FA2AF"/>
          <w:insideV w:val="single" w:sz="4" w:color="8FA2AF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835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参数</w:t>
            </w:r>
          </w:p>
        </w:tc>
        <w:tc>
          <w:tcPr>
            <w:tcW w:type="dxa" w:w="2381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当前值</w:t>
            </w:r>
          </w:p>
        </w:tc>
        <w:tc>
          <w:tcPr>
            <w:tcW w:type="dxa" w:w="3515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意义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Kₚ / Kᵥ</w:t>
            </w:r>
          </w:p>
        </w:tc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8 / 6</w:t>
            </w:r>
          </w:p>
        </w:tc>
        <w:tc>
          <w:tcPr>
            <w:tcW w:type="dxa" w:w="351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位置恢复与速度阻尼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起动/输出限幅</w:t>
            </w:r>
          </w:p>
        </w:tc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330 / 380步</w:t>
            </w:r>
          </w:p>
        </w:tc>
        <w:tc>
          <w:tcPr>
            <w:tcW w:type="dxa" w:w="351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克服死区并限制倾角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有效数据超时</w:t>
            </w:r>
          </w:p>
        </w:tc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300 ms</w:t>
            </w:r>
          </w:p>
        </w:tc>
        <w:tc>
          <w:tcPr>
            <w:tcW w:type="dxa" w:w="351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视觉中断时停机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行程软限位</w:t>
            </w:r>
          </w:p>
        </w:tc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±420步</w:t>
            </w:r>
          </w:p>
        </w:tc>
        <w:tc>
          <w:tcPr>
            <w:tcW w:type="dxa" w:w="351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保护齿条与支架</w:t>
            </w:r>
          </w:p>
        </w:tc>
      </w:tr>
    </w:tbl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表6  V17滚球序列控制的关键参数</w:t>
      </w:r>
    </w:p>
    <w:p>
      <w:r>
        <w:br w:type="page"/>
      </w:r>
    </w:p>
    <w:p>
      <w:pPr>
        <w:keepNext/>
        <w:spacing w:lineRule="exact" w:line="440" w:before="0" w:after="80"/>
        <w:jc w:val="left"/>
      </w:pPr>
      <w:r>
        <w:rPr>
          <w:rFonts w:ascii="Times New Roman" w:hAnsi="Times New Roman" w:eastAsia="黑体"/>
          <w:b/>
          <w:color w:val="1F3A5F"/>
          <w:sz w:val="32"/>
        </w:rPr>
        <w:t>6  硬件接口、软件结构与安全设计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6.1  关键接口分配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2AF"/>
          <w:left w:val="single" w:sz="4" w:color="8FA2AF"/>
          <w:bottom w:val="single" w:sz="6" w:color="8FA2AF"/>
          <w:right w:val="single" w:sz="4" w:color="8FA2AF"/>
          <w:insideH w:val="single" w:sz="4" w:color="8FA2AF"/>
          <w:insideV w:val="single" w:sz="4" w:color="8FA2AF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098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7"/>
              </w:rPr>
              <w:t>模块</w:t>
            </w:r>
          </w:p>
        </w:tc>
        <w:tc>
          <w:tcPr>
            <w:tcW w:type="dxa" w:w="4535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7"/>
              </w:rPr>
              <w:t>信号与STM32引脚</w:t>
            </w:r>
          </w:p>
        </w:tc>
        <w:tc>
          <w:tcPr>
            <w:tcW w:type="dxa" w:w="2551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7"/>
              </w:rPr>
              <w:t>功能/备注</w:t>
            </w:r>
          </w:p>
        </w:tc>
      </w:tr>
      <w:tr>
        <w:trPr>
          <w:cantSplit/>
        </w:trPr>
        <w:tc>
          <w:tcPr>
            <w:tcW w:type="dxa" w:w="209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四路红外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S1 PB1；S2 PB0；S3 PC5；S4 PC4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白0黑1，S1在车身左侧</w:t>
            </w:r>
          </w:p>
        </w:tc>
      </w:tr>
      <w:tr>
        <w:trPr>
          <w:cantSplit/>
        </w:trPr>
        <w:tc>
          <w:tcPr>
            <w:tcW w:type="dxa" w:w="209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TB6612左轮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PWMA PE13/TIM1_CH3；AIN1/2 PD0/PD1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PWM+方向</w:t>
            </w:r>
          </w:p>
        </w:tc>
      </w:tr>
      <w:tr>
        <w:trPr>
          <w:cantSplit/>
        </w:trPr>
        <w:tc>
          <w:tcPr>
            <w:tcW w:type="dxa" w:w="209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TB6612右轮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PWMB PE14/TIM1_CH4；BIN1/2 PD2/PD3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STBY=PD4</w:t>
            </w:r>
          </w:p>
        </w:tc>
      </w:tr>
      <w:tr>
        <w:trPr>
          <w:cantSplit/>
        </w:trPr>
        <w:tc>
          <w:tcPr>
            <w:tcW w:type="dxa" w:w="209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左/右编码器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PB4/PB5 TIM3；PB6/PB7 TIM4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前进计数均增加</w:t>
            </w:r>
          </w:p>
        </w:tc>
      </w:tr>
      <w:tr>
        <w:trPr>
          <w:cantSplit/>
        </w:trPr>
        <w:tc>
          <w:tcPr>
            <w:tcW w:type="dxa" w:w="209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步进驱动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STEP PA6；DIR PA7；SLP PA5；RST PA4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DCY未用，单路执行器</w:t>
            </w:r>
          </w:p>
        </w:tc>
      </w:tr>
      <w:tr>
        <w:trPr>
          <w:cantSplit/>
        </w:trPr>
        <w:tc>
          <w:tcPr>
            <w:tcW w:type="dxa" w:w="209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K230视觉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GPIO5/TX → PA3/USART2_RX，共地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9600 bit/s，3.3 V TTL</w:t>
            </w:r>
          </w:p>
        </w:tc>
      </w:tr>
      <w:tr>
        <w:trPr>
          <w:cantSplit/>
        </w:trPr>
        <w:tc>
          <w:tcPr>
            <w:tcW w:type="dxa" w:w="209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OLED / 按键</w:t>
            </w:r>
          </w:p>
        </w:tc>
        <w:tc>
          <w:tcPr>
            <w:tcW w:type="dxa" w:w="45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PB10 SCL，PB11 SDA；PE7–PE10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显示状态与人机操作</w:t>
            </w:r>
          </w:p>
        </w:tc>
      </w:tr>
    </w:tbl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表7  单STM32F407主控版关键接线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6.2  确定性时序与软件分层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软件按BSP、协议、控制、应用四层组织：BSP只处理GPIO、定时器、串口和OLED；协议层从环形缓冲取字节并生成视觉样本；控制层管理轮速PI、滚球坐标与PD输出；应用层只做状态转移。所有周期任务都由1 ms时基驱动，不使用阻塞延时。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2AF"/>
          <w:left w:val="single" w:sz="4" w:color="8FA2AF"/>
          <w:bottom w:val="single" w:sz="6" w:color="8FA2AF"/>
          <w:right w:val="single" w:sz="4" w:color="8FA2AF"/>
          <w:insideH w:val="single" w:sz="4" w:color="8FA2AF"/>
          <w:insideV w:val="single" w:sz="4" w:color="8FA2AF"/>
        </w:tblBorders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2268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任务</w:t>
            </w:r>
          </w:p>
        </w:tc>
        <w:tc>
          <w:tcPr>
            <w:tcW w:type="dxa" w:w="2551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周期/触发</w:t>
            </w:r>
          </w:p>
        </w:tc>
        <w:tc>
          <w:tcPr>
            <w:tcW w:type="dxa" w:w="4365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8"/>
              </w:rPr>
              <w:t>超时约束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滚球控制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10 ms</w:t>
            </w:r>
          </w:p>
        </w:tc>
        <w:tc>
          <w:tcPr>
            <w:tcW w:type="dxa" w:w="43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本周期只更新目标，STEP由定时器产生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循迹与轮速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20 ms</w:t>
            </w:r>
          </w:p>
        </w:tc>
        <w:tc>
          <w:tcPr>
            <w:tcW w:type="dxa" w:w="43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模式解码、速度斜坡、PI输出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OLED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200–250 ms</w:t>
            </w:r>
          </w:p>
        </w:tc>
        <w:tc>
          <w:tcPr>
            <w:tcW w:type="dxa" w:w="43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只显示快照，不参与闭环</w:t>
            </w:r>
          </w:p>
        </w:tc>
      </w:tr>
      <w:tr>
        <w:trPr>
          <w:cantSplit/>
        </w:trPr>
        <w:tc>
          <w:tcPr>
            <w:tcW w:type="dxa" w:w="226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USART2接收</w:t>
            </w:r>
          </w:p>
        </w:tc>
        <w:tc>
          <w:tcPr>
            <w:tcW w:type="dxa" w:w="255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RXNE中断</w:t>
            </w:r>
          </w:p>
        </w:tc>
        <w:tc>
          <w:tcPr>
            <w:tcW w:type="dxa" w:w="436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8"/>
              </w:rPr>
              <w:t>逐字节入队，主循环非阻塞解析</w:t>
            </w:r>
          </w:p>
        </w:tc>
      </w:tr>
    </w:tbl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表8  周期任务与中断的时序分工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6.3  故障安全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SW4为最高优先级急停；视觉超时、执行器越过±420步或未完成水平参考时，都禁止进入自动状态。发生故障后先将目标速度清零，再关闭脉冲输出，使“显示故障”与“硬件已停止”保持一致。</w:t>
      </w:r>
    </w:p>
    <w:p>
      <w:r>
        <w:br w:type="page"/>
      </w:r>
    </w:p>
    <w:p>
      <w:pPr>
        <w:keepNext/>
        <w:spacing w:lineRule="exact" w:line="440" w:before="0" w:after="80"/>
        <w:jc w:val="left"/>
      </w:pPr>
      <w:r>
        <w:rPr>
          <w:rFonts w:ascii="Times New Roman" w:hAnsi="Times New Roman" w:eastAsia="黑体"/>
          <w:b/>
          <w:color w:val="1F3A5F"/>
          <w:sz w:val="32"/>
        </w:rPr>
        <w:t>7  系统测试与结果分析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7.1  分模块测试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2AF"/>
          <w:left w:val="single" w:sz="4" w:color="8FA2AF"/>
          <w:bottom w:val="single" w:sz="6" w:color="8FA2AF"/>
          <w:right w:val="single" w:sz="4" w:color="8FA2AF"/>
          <w:insideH w:val="single" w:sz="4" w:color="8FA2AF"/>
          <w:insideV w:val="single" w:sz="4" w:color="8FA2AF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587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7"/>
              </w:rPr>
              <w:t>对象</w:t>
            </w:r>
          </w:p>
        </w:tc>
        <w:tc>
          <w:tcPr>
            <w:tcW w:type="dxa" w:w="2438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7"/>
              </w:rPr>
              <w:t>测试方法</w:t>
            </w:r>
          </w:p>
        </w:tc>
        <w:tc>
          <w:tcPr>
            <w:tcW w:type="dxa" w:w="3458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7"/>
              </w:rPr>
              <w:t>记录</w:t>
            </w:r>
          </w:p>
        </w:tc>
        <w:tc>
          <w:tcPr>
            <w:tcW w:type="dxa" w:w="1701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电机/编码器</w:t>
            </w:r>
          </w:p>
        </w:tc>
        <w:tc>
          <w:tcPr>
            <w:tcW w:type="dxa" w:w="243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架空定时正反转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正转L4049/R4001；反转L-4088/R-3884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方向与极性正确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轮速均衡</w:t>
            </w:r>
          </w:p>
        </w:tc>
        <w:tc>
          <w:tcPr>
            <w:tcW w:type="dxa" w:w="243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架空稳态观测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正转PWM 249/249；反转247/242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两轮基本一致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四路红外</w:t>
            </w:r>
          </w:p>
        </w:tc>
        <w:tc>
          <w:tcPr>
            <w:tcW w:type="dxa" w:w="243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白底及单通道压线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0000；1000/0100/0010/0001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通道顺序与逻辑正确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视觉标定</w:t>
            </w:r>
          </w:p>
        </w:tc>
        <w:tc>
          <w:tcPr>
            <w:tcW w:type="dxa" w:w="243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左端/中点/右端静态取样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37/351/658 px → -125/0/+125 mm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像素坐标与物理坐标一致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视觉丢球</w:t>
            </w:r>
          </w:p>
        </w:tc>
        <w:tc>
          <w:tcPr>
            <w:tcW w:type="dxa" w:w="243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取走钢球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VALID=0，AGE=999 ms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失效保护可触发</w:t>
            </w:r>
          </w:p>
        </w:tc>
      </w:tr>
      <w:tr>
        <w:trPr>
          <w:cantSplit/>
        </w:trPr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步进方向</w:t>
            </w:r>
          </w:p>
        </w:tc>
        <w:tc>
          <w:tcPr>
            <w:tcW w:type="dxa" w:w="243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SW1/SW2手动点动</w:t>
            </w:r>
          </w:p>
        </w:tc>
        <w:tc>
          <w:tcPr>
            <w:tcW w:type="dxa" w:w="345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SW1车尾上升/POS增；SW2相反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坐标符号统一</w:t>
            </w:r>
          </w:p>
        </w:tc>
      </w:tr>
    </w:tbl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表9  分模块实测记录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7.2  循迹与滚球阶段结果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2AF"/>
          <w:left w:val="single" w:sz="4" w:color="8FA2AF"/>
          <w:bottom w:val="single" w:sz="6" w:color="8FA2AF"/>
          <w:right w:val="single" w:sz="4" w:color="8FA2AF"/>
          <w:insideH w:val="single" w:sz="4" w:color="8FA2AF"/>
          <w:insideV w:val="single" w:sz="4" w:color="8FA2AF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928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7"/>
              </w:rPr>
              <w:t>版本/工况</w:t>
            </w:r>
          </w:p>
        </w:tc>
        <w:tc>
          <w:tcPr>
            <w:tcW w:type="dxa" w:w="2835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7"/>
              </w:rPr>
              <w:t>主要改动</w:t>
            </w:r>
          </w:p>
        </w:tc>
        <w:tc>
          <w:tcPr>
            <w:tcW w:type="dxa" w:w="2835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7"/>
              </w:rPr>
              <w:t>单次典型记录</w:t>
            </w:r>
          </w:p>
        </w:tc>
        <w:tc>
          <w:tcPr>
            <w:tcW w:type="dxa" w:w="1587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循迹低速稳定版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全程保守基速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约50–51 s/圈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可完成一圈，速度偏低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路线分段版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弯前刹车+直线加速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40420 ms/圈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阶段最短记录，未达20 s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滚球V17序列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0→+50→-50 mm，PD+起动补偿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能完成相位切换；终点约-10 mm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位置误差位于限值边界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后续增益试验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加大起动和追踪力度</w:t>
            </w:r>
          </w:p>
        </w:tc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出现+15∼+20 mm停留或过冲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7"/>
              </w:rPr>
              <w:t>性能退化，已回退V17</w:t>
            </w:r>
          </w:p>
        </w:tc>
      </w:tr>
    </w:tbl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表10  系统联调阶段记录（为单次典型值，非统计平均）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测试结果表明，电气方向、基本测量链和故障分支均已贯通。循迹的主要矛盾不再是引脚或电平错误，而是“较高基速与弯道可观测时间”的折中；滚球的主要限制是执行器静摩擦、齿条回差和视觉速度估计拖尾。因此，后续优化应优先增加传感器前视距离、提升机械刚度和改善低速可控性，而不是继续单纯提高增益。</w:t>
      </w:r>
    </w:p>
    <w:p>
      <w:r>
        <w:br w:type="page"/>
      </w:r>
    </w:p>
    <w:p>
      <w:pPr>
        <w:keepNext/>
        <w:spacing w:lineRule="exact" w:line="440" w:before="0" w:after="80"/>
        <w:jc w:val="left"/>
      </w:pPr>
      <w:r>
        <w:rPr>
          <w:rFonts w:ascii="Times New Roman" w:hAnsi="Times New Roman" w:eastAsia="黑体"/>
          <w:b/>
          <w:color w:val="1F3A5F"/>
          <w:sz w:val="32"/>
        </w:rPr>
        <w:t>8  误差来源、改进路径与结论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3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ineering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图6  基于证据的单变量调试与版本回退流程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8.1  误差预算与改进优先级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8FA2AF"/>
          <w:left w:val="single" w:sz="4" w:color="8FA2AF"/>
          <w:bottom w:val="single" w:sz="6" w:color="8FA2AF"/>
          <w:right w:val="single" w:sz="4" w:color="8FA2AF"/>
          <w:insideH w:val="single" w:sz="4" w:color="8FA2AF"/>
          <w:insideV w:val="single" w:sz="4" w:color="8FA2AF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928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6"/>
              </w:rPr>
              <w:t>误差源</w:t>
            </w:r>
          </w:p>
        </w:tc>
        <w:tc>
          <w:tcPr>
            <w:tcW w:type="dxa" w:w="3061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6"/>
              </w:rPr>
              <w:t>现象与证据</w:t>
            </w:r>
          </w:p>
        </w:tc>
        <w:tc>
          <w:tcPr>
            <w:tcW w:type="dxa" w:w="2154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6"/>
              </w:rPr>
              <w:t>影响</w:t>
            </w:r>
          </w:p>
        </w:tc>
        <w:tc>
          <w:tcPr>
            <w:tcW w:type="dxa" w:w="2381"/>
            <w:shd w:fill="EAF1F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center"/>
            </w:pPr>
            <w:r>
              <w:rPr>
                <w:rFonts w:ascii="Times New Roman" w:hAnsi="Times New Roman" w:eastAsia="黑体"/>
                <w:b/>
                <w:color w:val="1F3A5F"/>
                <w:sz w:val="16"/>
              </w:rPr>
              <w:t>改进方向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红外几何布置</w:t>
            </w:r>
          </w:p>
        </w:tc>
        <w:tc>
          <w:tcPr>
            <w:tcW w:type="dxa" w:w="30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模块离地约9 mm，快速横移时状态闪烁</w:t>
            </w:r>
          </w:p>
        </w:tc>
        <w:tc>
          <w:tcPr>
            <w:tcW w:type="dxa" w:w="215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弯道信息出现得过晚</w:t>
            </w:r>
          </w:p>
        </w:tc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降低离地高度，增大车头前视距离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底盘惯性</w:t>
            </w:r>
          </w:p>
        </w:tc>
        <w:tc>
          <w:tcPr>
            <w:tcW w:type="dxa" w:w="30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直线稳定后进弯仍可向外滑移</w:t>
            </w:r>
          </w:p>
        </w:tc>
        <w:tc>
          <w:tcPr>
            <w:tcW w:type="dxa" w:w="215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大偏差时转向量不足</w:t>
            </w:r>
          </w:p>
        </w:tc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弯前减速，边缘态提前抢救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齿条静摩擦/回差</w:t>
            </w:r>
          </w:p>
        </w:tc>
        <w:tc>
          <w:tcPr>
            <w:tcW w:type="dxa" w:w="30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小指令不动，大指令易过冲；正负起动值不等</w:t>
            </w:r>
          </w:p>
        </w:tc>
        <w:tc>
          <w:tcPr>
            <w:tcW w:type="dxa" w:w="215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钢球停在目标附近但不继续修正</w:t>
            </w:r>
          </w:p>
        </w:tc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反向间隙补偿+更高细分+提高刚度</w:t>
            </w:r>
          </w:p>
        </w:tc>
      </w:tr>
      <w:tr>
        <w:trPr>
          <w:cantSplit/>
        </w:trPr>
        <w:tc>
          <w:tcPr>
            <w:tcW w:type="dxa" w:w="19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视觉波动</w:t>
            </w:r>
          </w:p>
        </w:tc>
        <w:tc>
          <w:tcPr>
            <w:tcW w:type="dxa" w:w="306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偶发VALID=0，速度估计对延迟敏感</w:t>
            </w:r>
          </w:p>
        </w:tc>
        <w:tc>
          <w:tcPr>
            <w:tcW w:type="dxa" w:w="215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终点判定与刹车相位偏移</w:t>
            </w:r>
          </w:p>
        </w:tc>
        <w:tc>
          <w:tcPr>
            <w:tcW w:type="dxa" w:w="238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keepNext w:val="0"/>
              <w:spacing w:lineRule="exact" w:line="300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202A33"/>
                <w:sz w:val="16"/>
              </w:rPr>
              <w:t>提高模型稳定度，加时戳和外点剔除</w:t>
            </w:r>
          </w:p>
        </w:tc>
      </w:tr>
    </w:tbl>
    <w:p>
      <w:pPr>
        <w:keepNext w:val="0"/>
        <w:spacing w:lineRule="exact" w:line="280" w:before="20" w:after="60"/>
        <w:jc w:val="center"/>
      </w:pPr>
      <w:r>
        <w:rPr>
          <w:rFonts w:ascii="Times New Roman" w:hAnsi="Times New Roman" w:eastAsia="宋体"/>
          <w:b w:val="0"/>
          <w:color w:val="65727E"/>
          <w:sz w:val="18"/>
        </w:rPr>
        <w:t>表11  系统误差预算与改进优先级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8.2  软件质量与可追溯性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最终回退至V17已知稳定基线；Keil编译结果为0 error、0 warning，Code=19356 B，程序烧录经Erase、Programming和Verify均成功。该基线保留了水平参考、中心保持、题3序列、视觉超时、软限位和急停功能，后续任何参数修改都可以以此为回归测试起点。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8.3  结论</w:t>
      </w:r>
    </w:p>
    <w:p>
      <w:pPr>
        <w:keepNext w:val="0"/>
        <w:spacing w:lineRule="exact" w:line="440" w:before="0" w:after="0"/>
        <w:ind w:firstLine="420"/>
        <w:jc w:val="both"/>
      </w:pPr>
      <w:r>
        <w:rPr>
          <w:rFonts w:ascii="Times New Roman" w:hAnsi="Times New Roman" w:eastAsia="宋体"/>
          <w:b w:val="0"/>
          <w:color w:val="202A33"/>
          <w:sz w:val="24"/>
        </w:rPr>
        <w:t>本设计完成了从传感器、视觉坐标、串口中断、轮速闭环到单步进执行器的整体贯通。其核心价值不是单一“高增益”，而是将路线状态、钢球状态和故障状态显式分层，并用真实标定数据约束控制量。当前整车已具备稳定循迹和滚球序列控制的完整软硬件基础；要进一步突破20 s循迹和更小的滚球重复性误差，优先级应是传感器前视几何、齿条低速可控性及视觉时延的协同改善。</w:t>
      </w:r>
    </w:p>
    <w:p>
      <w:pPr>
        <w:keepNext/>
        <w:spacing w:lineRule="exact" w:line="400" w:before="40" w:after="40"/>
        <w:jc w:val="left"/>
      </w:pPr>
      <w:r>
        <w:rPr>
          <w:rFonts w:ascii="Times New Roman" w:hAnsi="Times New Roman" w:eastAsia="黑体"/>
          <w:b/>
          <w:color w:val="202A33"/>
          <w:sz w:val="26"/>
        </w:rPr>
        <w:t>参考文献</w:t>
      </w:r>
    </w:p>
    <w:p>
      <w:pPr>
        <w:keepNext w:val="0"/>
        <w:spacing w:lineRule="exact" w:line="280" w:before="0" w:after="0"/>
        <w:jc w:val="left"/>
      </w:pPr>
      <w:r>
        <w:rPr>
          <w:rFonts w:ascii="Times New Roman" w:hAnsi="Times New Roman" w:eastAsia="宋体"/>
          <w:b w:val="0"/>
          <w:color w:val="202A33"/>
          <w:sz w:val="18"/>
        </w:rPr>
        <w:t>[1] 2026年全国大学生电子设计竞赛河南赛区H题：车载平衡滚球运动控制系统.</w:t>
      </w:r>
    </w:p>
    <w:p>
      <w:pPr>
        <w:keepNext w:val="0"/>
        <w:spacing w:lineRule="exact" w:line="280" w:before="0" w:after="0"/>
        <w:jc w:val="left"/>
      </w:pPr>
      <w:r>
        <w:rPr>
          <w:rFonts w:ascii="Times New Roman" w:hAnsi="Times New Roman" w:eastAsia="宋体"/>
          <w:b w:val="0"/>
          <w:color w:val="202A33"/>
          <w:sz w:val="18"/>
        </w:rPr>
        <w:t>[2] STMicroelectronics. RM0090 STM32F405/407 Reference Manual.</w:t>
      </w:r>
    </w:p>
    <w:p>
      <w:pPr>
        <w:keepNext w:val="0"/>
        <w:spacing w:lineRule="exact" w:line="280" w:before="0" w:after="0"/>
        <w:jc w:val="left"/>
      </w:pPr>
      <w:r>
        <w:rPr>
          <w:rFonts w:ascii="Times New Roman" w:hAnsi="Times New Roman" w:eastAsia="宋体"/>
          <w:b w:val="0"/>
          <w:color w:val="202A33"/>
          <w:sz w:val="18"/>
        </w:rPr>
        <w:t>[3] STMicroelectronics. STM32F407xx Datasheet.</w:t>
      </w:r>
    </w:p>
    <w:p>
      <w:pPr>
        <w:keepNext w:val="0"/>
        <w:spacing w:lineRule="exact" w:line="280" w:before="0" w:after="0"/>
        <w:jc w:val="left"/>
      </w:pPr>
      <w:r>
        <w:rPr>
          <w:rFonts w:ascii="Times New Roman" w:hAnsi="Times New Roman" w:eastAsia="宋体"/>
          <w:b w:val="0"/>
          <w:color w:val="202A33"/>
          <w:sz w:val="18"/>
        </w:rPr>
        <w:t>[4] Toshiba. TB6612FNG Dual DC Motor Driver Datasheet.</w:t>
      </w:r>
    </w:p>
    <w:p>
      <w:pPr>
        <w:keepNext w:val="0"/>
        <w:spacing w:lineRule="exact" w:line="280" w:before="0" w:after="0"/>
        <w:jc w:val="left"/>
      </w:pPr>
      <w:r>
        <w:rPr>
          <w:rFonts w:ascii="Times New Roman" w:hAnsi="Times New Roman" w:eastAsia="宋体"/>
          <w:b w:val="0"/>
          <w:color w:val="202A33"/>
          <w:sz w:val="18"/>
        </w:rPr>
        <w:t>[5] K. Ogata. Modern Control Engineering. Prentice Hall.</w:t>
      </w:r>
    </w:p>
    <w:sectPr w:rsidR="00FC693F" w:rsidRPr="0006063C" w:rsidSect="00034616">
      <w:footerReference w:type="default" r:id="rId9"/>
      <w:pgSz w:w="11906" w:h="16838"/>
      <w:pgMar w:top="1814" w:right="1247" w:bottom="1134" w:left="1247" w:header="283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Times New Roman" w:hAnsi="Times New Roman" w:eastAsia="宋体"/>
        <w:b w:val="0"/>
        <w:color w:val="202A33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UseHTMLParagraphAutoSpacing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40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车载平衡滚球运动控制系统设计报告</dc:title>
  <dc:subject>2026年全国大学生电子设计竞赛H题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