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38DE" w14:textId="77777777" w:rsidR="00F05521" w:rsidRDefault="00A82D9E">
      <w:pPr>
        <w:spacing w:after="240"/>
        <w:jc w:val="center"/>
      </w:pPr>
      <w:r>
        <w:rPr>
          <w:rFonts w:eastAsia="Times New Roman"/>
          <w:b/>
          <w:sz w:val="36"/>
        </w:rPr>
        <w:t>taoFPGA: Architecture, Implementation, and Evaluation of a</w:t>
      </w:r>
      <w:r>
        <w:rPr>
          <w:rFonts w:eastAsia="Times New Roman"/>
          <w:b/>
          <w:sz w:val="36"/>
        </w:rPr>
        <w:br/>
        <w:t>Quantized Transformer Processing Core on Edge FPGA</w:t>
      </w:r>
    </w:p>
    <w:p w14:paraId="1D976748" w14:textId="77777777" w:rsidR="00F05521" w:rsidRDefault="00A82D9E">
      <w:pPr>
        <w:spacing w:after="40"/>
        <w:jc w:val="center"/>
      </w:pPr>
      <w:r>
        <w:rPr>
          <w:rFonts w:eastAsia="Times New Roman"/>
          <w:sz w:val="24"/>
        </w:rPr>
        <w:t>Eliran Turgeman, Shay Rask</w:t>
      </w:r>
    </w:p>
    <w:p w14:paraId="5461E556" w14:textId="77777777" w:rsidR="00F05521" w:rsidRDefault="00A82D9E">
      <w:pPr>
        <w:spacing w:after="280"/>
        <w:jc w:val="center"/>
      </w:pPr>
      <w:r>
        <w:rPr>
          <w:rFonts w:eastAsia="Times New Roman"/>
          <w:i/>
        </w:rPr>
        <w:t>Faculty of Engineering, Bar-Ilan University</w:t>
      </w:r>
      <w:r>
        <w:rPr>
          <w:rFonts w:eastAsia="Times New Roman"/>
          <w:i/>
        </w:rPr>
        <w:br/>
        <w:t>Academic Supervisor: Dr. Leonid Yavits | Project Mentor: David Freud</w:t>
      </w:r>
    </w:p>
    <w:p w14:paraId="4AA7E637" w14:textId="77777777" w:rsidR="00F05521" w:rsidRDefault="00A82D9E">
      <w:pPr>
        <w:spacing w:after="80"/>
      </w:pPr>
      <w:r>
        <w:rPr>
          <w:rFonts w:eastAsia="Times New Roman"/>
          <w:b/>
          <w:i/>
        </w:rPr>
        <w:t>Abstract—</w:t>
      </w:r>
      <w:r>
        <w:rPr>
          <w:rFonts w:eastAsia="Times New Roman"/>
        </w:rPr>
        <w:t>Transformer models are increasingly deployed on power- and resource-constrained edge devices, where their quadratic attention cost and large dense matrix multiplications strain both compute and memory bandwidth. This paper presents taoFPGA, a quantized INT8 transformer processing core built around a 16×16 weight-stationary systolic array fused with dedicated fixed-point Softmax and GELU engines, verified end to end from RTL simulation through physical signoff and real hardware bring-up on a Xilinx Zynq-7020</w:t>
      </w:r>
      <w:r>
        <w:rPr>
          <w:rFonts w:eastAsia="Times New Roman"/>
        </w:rPr>
        <w:t xml:space="preserve"> (PYNQ-Z2). We detail a tolerance-bounded verification methodology carried consistently from SystemVerilog testbenches through a Python/NumPy golden model validated against physical silicon, a synthesis-level DSP-inference defect whose correction reduced LUT utilization by 49.3% and total on-chip power by 3.1%, and a full-scale hardware validation run matching simulation to zero error across 32,000 output elements. We further report a kernel-level benchmark against a real, numerically validated ViT-Tiny sof</w:t>
      </w:r>
      <w:r>
        <w:rPr>
          <w:rFonts w:eastAsia="Times New Roman"/>
        </w:rPr>
        <w:t>tware baseline, achieving up to 97.73× measured speedup (70.02× and 97.73× across the two benchmarked kernel shapes) over the board's ARM Cortex-A9, corresponding to a total energy efficiency of 2.25 GOPS/W (2.47 GOPS/W on dynamic power alone) at peak throughput — while explicitly analyzing why the accelerator's fixed pipeline does not structurally correspond to any single Vision Transformer operation, a distinction we treat as a methodological contribution in its own right. We close with a quantified accou</w:t>
      </w:r>
      <w:r>
        <w:rPr>
          <w:rFonts w:eastAsia="Times New Roman"/>
        </w:rPr>
        <w:t>nt of the design's remaining hardware constraints, principally a 64 KB single-transfer DMA ceiling, and the Scatter-Gather DMA redesign identified as its prerequisite fix.</w:t>
      </w:r>
    </w:p>
    <w:p w14:paraId="26379AE2" w14:textId="77777777" w:rsidR="00F05521" w:rsidRDefault="00A82D9E">
      <w:r>
        <w:rPr>
          <w:rFonts w:eastAsia="Times New Roman"/>
          <w:b/>
          <w:i/>
        </w:rPr>
        <w:t>Index Terms—</w:t>
      </w:r>
      <w:r>
        <w:rPr>
          <w:rFonts w:eastAsia="Times New Roman"/>
        </w:rPr>
        <w:t>FPGA, transformer accelerator, systolic array, vision transformer, quantization, Softmax, GELU, Zynq, PYNQ, hardware/software co-design.</w:t>
      </w:r>
    </w:p>
    <w:p w14:paraId="3E3D8DD8" w14:textId="77777777" w:rsidR="00F05521" w:rsidRDefault="00F05521">
      <w:pPr>
        <w:sectPr w:rsidR="00F05521">
          <w:pgSz w:w="12240" w:h="15840"/>
          <w:pgMar w:top="1077" w:right="850" w:bottom="1417" w:left="850" w:header="720" w:footer="720" w:gutter="0"/>
          <w:cols w:space="720"/>
          <w:docGrid w:linePitch="360"/>
        </w:sectPr>
      </w:pPr>
    </w:p>
    <w:p w14:paraId="5A7764B8" w14:textId="77777777" w:rsidR="00F05521" w:rsidRDefault="00A82D9E">
      <w:pPr>
        <w:spacing w:before="240" w:after="120"/>
        <w:jc w:val="center"/>
      </w:pPr>
      <w:r>
        <w:rPr>
          <w:rFonts w:eastAsia="Times New Roman"/>
          <w:b/>
          <w:sz w:val="22"/>
        </w:rPr>
        <w:t>I. INTRODUCTION &amp; MOTIVATION</w:t>
      </w:r>
    </w:p>
    <w:p w14:paraId="315FCB19" w14:textId="77777777" w:rsidR="00F05521" w:rsidRDefault="00A82D9E">
      <w:pPr>
        <w:spacing w:before="160" w:after="80"/>
      </w:pPr>
      <w:r>
        <w:rPr>
          <w:rFonts w:eastAsia="Times New Roman"/>
          <w:b/>
          <w:i/>
        </w:rPr>
        <w:t>A. The Edge AI Compute Dilemma</w:t>
      </w:r>
    </w:p>
    <w:p w14:paraId="42FF5945" w14:textId="77777777" w:rsidR="00F05521" w:rsidRDefault="00A82D9E">
      <w:pPr>
        <w:spacing w:after="120"/>
        <w:ind w:firstLine="288"/>
        <w:jc w:val="both"/>
      </w:pPr>
      <w:r>
        <w:rPr>
          <w:rFonts w:eastAsia="Times New Roman"/>
        </w:rPr>
        <w:t>Transformer models now dominate both natural-language processing and computer vision, but their computational profile — quadratic self-attention and large dense projections in every encoder layer — sits uneasily on embedded edge platforms, where DRAM bandwidth, on-chip memory, and power budget are all scarce simultaneously [1]. Prior FPGA accelerators for transformer-family models converge on a small set of recurring design choices — systolic or array-of-PE matrix multiplication, fixed-point quantization, a</w:t>
      </w:r>
      <w:r>
        <w:rPr>
          <w:rFonts w:eastAsia="Times New Roman"/>
        </w:rPr>
        <w:t>nd dedicated non-linear activation units — to close this gap [2]–[5]. This project targets that same design space on a resource-constrained, commodity Zynq-7020 SoC.</w:t>
      </w:r>
    </w:p>
    <w:p w14:paraId="59108814" w14:textId="77777777" w:rsidR="00F05521" w:rsidRDefault="00A82D9E">
      <w:pPr>
        <w:spacing w:before="160" w:after="80"/>
      </w:pPr>
      <w:r>
        <w:rPr>
          <w:rFonts w:eastAsia="Times New Roman"/>
          <w:b/>
          <w:i/>
        </w:rPr>
        <w:t>B. Design Intent &amp; Methodology</w:t>
      </w:r>
    </w:p>
    <w:p w14:paraId="6A414333" w14:textId="77777777" w:rsidR="00F05521" w:rsidRDefault="00A82D9E">
      <w:pPr>
        <w:spacing w:after="120"/>
        <w:ind w:firstLine="288"/>
        <w:jc w:val="both"/>
      </w:pPr>
      <w:r>
        <w:rPr>
          <w:rFonts w:eastAsia="Times New Roman"/>
        </w:rPr>
        <w:t xml:space="preserve">taoFPGA was developed bottom-up: each arithmetic core — the systolic matrix multiplier, the Softmax normalization engine, and the GELU activation unit — was designed and verified in isolation against a real-valued golden reference before being composed into a single streaming pipeline (MatMul → Softmax → GELU), integrated into a complete SoC, physically implemented, and finally evaluated against </w:t>
      </w:r>
      <w:r>
        <w:rPr>
          <w:rFonts w:eastAsia="Times New Roman"/>
        </w:rPr>
        <w:t>real Vision Transformer (ViT) workload shapes on physical hardware. A recurring methodological principle, arrived at empirically over the course of the project, governs every phase: no layer of the system — golden model, integration script, board, register map, or DMA transfer — may be assumed correct on the strength of another layer's correctness. Each was checked directly against its own ground truth.</w:t>
      </w:r>
    </w:p>
    <w:p w14:paraId="64BBF6DB" w14:textId="77777777" w:rsidR="00F05521" w:rsidRDefault="00A82D9E">
      <w:pPr>
        <w:spacing w:before="160" w:after="80"/>
      </w:pPr>
      <w:r>
        <w:rPr>
          <w:rFonts w:eastAsia="Times New Roman"/>
          <w:b/>
          <w:i/>
        </w:rPr>
        <w:t>C. Key Contributions &amp; Paper Outline</w:t>
      </w:r>
    </w:p>
    <w:p w14:paraId="19FA2F04" w14:textId="77777777" w:rsidR="00F05521" w:rsidRDefault="00A82D9E">
      <w:pPr>
        <w:spacing w:after="80"/>
        <w:ind w:left="259" w:hanging="259"/>
      </w:pPr>
      <w:r>
        <w:rPr>
          <w:rFonts w:eastAsia="Times New Roman"/>
          <w:b/>
        </w:rPr>
        <w:t xml:space="preserve">(1) </w:t>
      </w:r>
      <w:r>
        <w:rPr>
          <w:rFonts w:eastAsia="Times New Roman"/>
        </w:rPr>
        <w:t>A 16×16 INT8 weight-stationary systolic array fused with dedicated fixed-point Softmax and GELU engines into a single streaming pipeline.</w:t>
      </w:r>
    </w:p>
    <w:p w14:paraId="2DEA5ECE" w14:textId="77777777" w:rsidR="00F05521" w:rsidRDefault="00A82D9E">
      <w:pPr>
        <w:spacing w:after="80"/>
        <w:ind w:left="259" w:hanging="259"/>
      </w:pPr>
      <w:r>
        <w:rPr>
          <w:rFonts w:eastAsia="Times New Roman"/>
          <w:b/>
        </w:rPr>
        <w:t xml:space="preserve">(2) </w:t>
      </w:r>
      <w:r>
        <w:rPr>
          <w:rFonts w:eastAsia="Times New Roman"/>
        </w:rPr>
        <w:t>A tolerance-bounded verification methodology carried consistently from SystemVerilog RTL simulation through a Python/NumPy golden model validated against physical silicon.</w:t>
      </w:r>
    </w:p>
    <w:p w14:paraId="1343E113" w14:textId="77777777" w:rsidR="00F05521" w:rsidRDefault="00A82D9E">
      <w:pPr>
        <w:spacing w:after="80"/>
        <w:ind w:left="259" w:hanging="259"/>
      </w:pPr>
      <w:r>
        <w:rPr>
          <w:rFonts w:eastAsia="Times New Roman"/>
          <w:b/>
        </w:rPr>
        <w:t xml:space="preserve">(3) </w:t>
      </w:r>
      <w:r>
        <w:rPr>
          <w:rFonts w:eastAsia="Times New Roman"/>
        </w:rPr>
        <w:t>Identification and correction of a synthesis-level DSP-inference defect, reducing LUT utilization by 49.3% and total on-chip power by 3.1% at signoff.</w:t>
      </w:r>
    </w:p>
    <w:p w14:paraId="2E1E6062" w14:textId="77777777" w:rsidR="00F05521" w:rsidRDefault="00A82D9E">
      <w:pPr>
        <w:spacing w:after="80"/>
        <w:ind w:left="259" w:hanging="259"/>
      </w:pPr>
      <w:r>
        <w:rPr>
          <w:rFonts w:eastAsia="Times New Roman"/>
          <w:b/>
        </w:rPr>
        <w:t xml:space="preserve">(4) </w:t>
      </w:r>
      <w:r>
        <w:rPr>
          <w:rFonts w:eastAsia="Times New Roman"/>
        </w:rPr>
        <w:t>First physical hardware validation of the design on a PYNQ-Z2, matching simulation to zero error across 32,000 output elements at full scale.</w:t>
      </w:r>
    </w:p>
    <w:p w14:paraId="5E645835" w14:textId="77777777" w:rsidR="00F05521" w:rsidRDefault="00A82D9E">
      <w:pPr>
        <w:spacing w:after="80"/>
        <w:ind w:left="259" w:hanging="259"/>
      </w:pPr>
      <w:r>
        <w:rPr>
          <w:rFonts w:eastAsia="Times New Roman"/>
          <w:b/>
        </w:rPr>
        <w:lastRenderedPageBreak/>
        <w:t xml:space="preserve">(5) </w:t>
      </w:r>
      <w:r>
        <w:rPr>
          <w:rFonts w:eastAsia="Times New Roman"/>
        </w:rPr>
        <w:t>A kernel-level hardware/software benchmark against a real, numerically validated ViT-Tiny baseline, reporting 70.02×-97.73× measured speedup and a total energy efficiency of 2.25 GOPS/W at peak throughput, together with an explicit architectural analysis of why the accelerator's fixed pipeline does not map onto any single ViT operation.</w:t>
      </w:r>
    </w:p>
    <w:p w14:paraId="4A98C378" w14:textId="77777777" w:rsidR="00F05521" w:rsidRDefault="00A82D9E">
      <w:pPr>
        <w:spacing w:after="80"/>
        <w:ind w:left="259" w:hanging="259"/>
      </w:pPr>
      <w:r>
        <w:rPr>
          <w:rFonts w:eastAsia="Times New Roman"/>
          <w:b/>
        </w:rPr>
        <w:t xml:space="preserve">(6) </w:t>
      </w:r>
      <w:r>
        <w:rPr>
          <w:rFonts w:eastAsia="Times New Roman"/>
        </w:rPr>
        <w:t>A quantified account of the design's open hardware constraints — principally a 64 KB DMA transfer ceiling — and the re-synthesis path identified to resolve them.</w:t>
      </w:r>
    </w:p>
    <w:p w14:paraId="618FA0BE" w14:textId="77777777" w:rsidR="00F05521" w:rsidRDefault="00A82D9E">
      <w:pPr>
        <w:spacing w:after="120"/>
        <w:ind w:firstLine="288"/>
        <w:jc w:val="both"/>
      </w:pPr>
      <w:r>
        <w:rPr>
          <w:rFonts w:eastAsia="Times New Roman"/>
        </w:rPr>
        <w:t>The remainder of this paper is organized as follows. Section II details the core hardware architecture and its fixed-point formulation. Section III covers RTL verification. Section IV describes SoC integration on the PYNQ-Z2. Section V reports physical implementation and signoff. Section VI presents experimental evaluation and hardware bring-up. Section VII discusses remaining bottlenecks and future work, and Section VIII concludes.</w:t>
      </w:r>
    </w:p>
    <w:p w14:paraId="5E16842B" w14:textId="77777777" w:rsidR="00F05521" w:rsidRDefault="00A82D9E">
      <w:pPr>
        <w:spacing w:before="240" w:after="120"/>
        <w:jc w:val="center"/>
      </w:pPr>
      <w:r>
        <w:rPr>
          <w:rFonts w:eastAsia="Times New Roman"/>
          <w:b/>
          <w:sz w:val="22"/>
        </w:rPr>
        <w:t>II. CORE HARDWARE ARCHITECTURE &amp; MATHEMATICAL FORMULATION</w:t>
      </w:r>
    </w:p>
    <w:p w14:paraId="20D95C16" w14:textId="77777777" w:rsidR="00F05521" w:rsidRDefault="00A82D9E">
      <w:pPr>
        <w:spacing w:before="160" w:after="80"/>
      </w:pPr>
      <w:r>
        <w:rPr>
          <w:rFonts w:eastAsia="Times New Roman"/>
          <w:b/>
          <w:i/>
        </w:rPr>
        <w:t>A. Systolic Matrix Multiplication Core</w:t>
      </w:r>
    </w:p>
    <w:p w14:paraId="4DAE7223" w14:textId="77777777" w:rsidR="00F05521" w:rsidRDefault="00A82D9E">
      <w:pPr>
        <w:spacing w:after="120"/>
        <w:ind w:firstLine="288"/>
        <w:jc w:val="both"/>
      </w:pPr>
      <w:r>
        <w:rPr>
          <w:rFonts w:eastAsia="Times New Roman"/>
        </w:rPr>
        <w:t>The matrix multiplication core (MM_ultra) is a weight-stationary 16×16 systolic array of INT8 processing elements (256 MACs total), fed by dedicated feature and weight input buffers (MM_in_buffer, MM_buffer) that stream operands into the array in A_size-wide parallel beats. Runtime-configurable block-count registers (F_width_block_num, W_width_block_num) parameterize the contraction and output dimensions, both constrained to multiples of the array width. Accumulated products are rounded and saturated to INT</w:t>
      </w:r>
      <w:r>
        <w:rPr>
          <w:rFonts w:eastAsia="Times New Roman"/>
        </w:rPr>
        <w:t>8 by a dedicated shifter: the design rounds half-up on an arithmetic right shift — equivalently, add 2^(shift−1) then shift, or inspect the most-significant discarded bit — before clamping to [−128, 127]. Both formulations were confirmed mathematically identical during hardware bring-up (Section VI) when the software golden model was cross-checked line-by-line against this shifter's RTL. Formally, for a pre-shift accumulator value z and a runtime-configurable shift ∈ ℤ⁺, the quantization operator realized i</w:t>
      </w:r>
      <w:r>
        <w:rPr>
          <w:rFonts w:eastAsia="Times New Roman"/>
        </w:rPr>
        <w:t>n hardware is</w:t>
      </w:r>
    </w:p>
    <w:p w14:paraId="385D80C2" w14:textId="77777777" w:rsidR="00F05521" w:rsidRDefault="00A82D9E">
      <w:pPr>
        <w:spacing w:before="80" w:after="80"/>
        <w:jc w:val="center"/>
      </w:pPr>
      <w:r>
        <w:rPr>
          <w:rFonts w:eastAsia="Times New Roman"/>
          <w:i/>
        </w:rPr>
        <w:t>Quant(z) = clip( ⌊(z + 2^(shift−1))·2^(−shift)⌋, −128, 127 )</w:t>
      </w:r>
      <w:r>
        <w:rPr>
          <w:rFonts w:eastAsia="Times New Roman"/>
        </w:rPr>
        <w:t xml:space="preserve">    (1)</w:t>
      </w:r>
    </w:p>
    <w:p w14:paraId="7621565C" w14:textId="77777777" w:rsidR="00F05521" w:rsidRDefault="00A82D9E">
      <w:pPr>
        <w:spacing w:after="120"/>
        <w:ind w:firstLine="288"/>
        <w:jc w:val="both"/>
      </w:pPr>
      <w:r>
        <w:rPr>
          <w:rFonts w:eastAsia="Times New Roman"/>
        </w:rPr>
        <w:t xml:space="preserve">where ⌊·⌋ denotes floor (equivalently, arithmetic right shift for two's-complement operands) and clip(·, lo, hi) saturates its argument to [lo, hi]. The degenerate case shift = 0 is handled as a direct clip of z with no rounding term. Listing 1 excerpts the actual RTL realization of (1) in right_shifter.v, which computes the round term by inspecting the discarded bit </w:t>
      </w:r>
      <w:r>
        <w:rPr>
          <w:rFonts w:eastAsia="Times New Roman"/>
        </w:rPr>
        <w:t>directly rather than via an explicit add-then-shift, the two formulations having been confirmed identical as noted above.</w:t>
      </w:r>
    </w:p>
    <w:tbl>
      <w:tblPr>
        <w:tblW w:w="0" w:type="auto"/>
        <w:tblLook w:val="04A0" w:firstRow="1" w:lastRow="0" w:firstColumn="1" w:lastColumn="0" w:noHBand="0" w:noVBand="1"/>
      </w:tblPr>
      <w:tblGrid>
        <w:gridCol w:w="5306"/>
      </w:tblGrid>
      <w:tr w:rsidR="00F05521" w14:paraId="4A977B4B" w14:textId="77777777">
        <w:tc>
          <w:tcPr>
            <w:tcW w:w="10540" w:type="dxa"/>
            <w:shd w:val="clear" w:color="auto" w:fill="F2F2F0"/>
          </w:tcPr>
          <w:p w14:paraId="77FAF6FD" w14:textId="77777777" w:rsidR="00F05521" w:rsidRDefault="00A82D9E">
            <w:pPr>
              <w:spacing w:after="0"/>
            </w:pPr>
            <w:r>
              <w:rPr>
                <w:rFonts w:ascii="Consolas" w:eastAsia="Consolas" w:hAnsi="Consolas"/>
                <w:sz w:val="16"/>
              </w:rPr>
              <w:t>// right_shifter.v -- round-half-up + saturate to INT8</w:t>
            </w:r>
          </w:p>
          <w:p w14:paraId="71E23394" w14:textId="77777777" w:rsidR="00F05521" w:rsidRDefault="00A82D9E">
            <w:pPr>
              <w:spacing w:after="0"/>
            </w:pPr>
            <w:r>
              <w:rPr>
                <w:rFonts w:ascii="Consolas" w:eastAsia="Consolas" w:hAnsi="Consolas"/>
                <w:sz w:val="16"/>
              </w:rPr>
              <w:t>assign temp1_out = data_in &gt;&gt;&gt; shift;</w:t>
            </w:r>
          </w:p>
          <w:p w14:paraId="0DE1B5B8" w14:textId="77777777" w:rsidR="00F05521" w:rsidRDefault="00A82D9E">
            <w:pPr>
              <w:spacing w:after="0"/>
            </w:pPr>
            <w:r>
              <w:rPr>
                <w:rFonts w:ascii="Consolas" w:eastAsia="Consolas" w:hAnsi="Consolas"/>
                <w:sz w:val="16"/>
              </w:rPr>
              <w:t>assign temp2_out =</w:t>
            </w:r>
          </w:p>
          <w:p w14:paraId="27051E8D" w14:textId="77777777" w:rsidR="00F05521" w:rsidRDefault="00A82D9E">
            <w:pPr>
              <w:spacing w:after="0"/>
            </w:pPr>
            <w:r>
              <w:rPr>
                <w:rFonts w:ascii="Consolas" w:eastAsia="Consolas" w:hAnsi="Consolas"/>
                <w:sz w:val="16"/>
              </w:rPr>
              <w:t xml:space="preserve">    data_in[shift-1] ? temp1_out + 1 : temp1_out;</w:t>
            </w:r>
          </w:p>
          <w:p w14:paraId="0A71BE60" w14:textId="77777777" w:rsidR="00F05521" w:rsidRDefault="00A82D9E">
            <w:pPr>
              <w:spacing w:after="0"/>
            </w:pPr>
            <w:r>
              <w:rPr>
                <w:rFonts w:ascii="Consolas" w:eastAsia="Consolas" w:hAnsi="Consolas"/>
                <w:sz w:val="16"/>
              </w:rPr>
              <w:t>// under_min/over_max: range checks on temp2_out</w:t>
            </w:r>
          </w:p>
          <w:p w14:paraId="48A1105D" w14:textId="77777777" w:rsidR="00F05521" w:rsidRDefault="00A82D9E">
            <w:pPr>
              <w:spacing w:after="0"/>
            </w:pPr>
            <w:r>
              <w:rPr>
                <w:rFonts w:ascii="Consolas" w:eastAsia="Consolas" w:hAnsi="Consolas"/>
                <w:sz w:val="16"/>
              </w:rPr>
              <w:t>case ({under_min, over_max})</w:t>
            </w:r>
          </w:p>
          <w:p w14:paraId="65FD8F0F" w14:textId="77777777" w:rsidR="00F05521" w:rsidRDefault="00A82D9E">
            <w:pPr>
              <w:spacing w:after="0"/>
            </w:pPr>
            <w:r>
              <w:rPr>
                <w:rFonts w:ascii="Consolas" w:eastAsia="Consolas" w:hAnsi="Consolas"/>
                <w:sz w:val="16"/>
              </w:rPr>
              <w:t xml:space="preserve">    2'b10: data_out = {1'b1, {(W-1){1'b0}}}; // -128</w:t>
            </w:r>
          </w:p>
          <w:p w14:paraId="4B661308" w14:textId="77777777" w:rsidR="00F05521" w:rsidRDefault="00A82D9E">
            <w:pPr>
              <w:spacing w:after="0"/>
            </w:pPr>
            <w:r>
              <w:rPr>
                <w:rFonts w:ascii="Consolas" w:eastAsia="Consolas" w:hAnsi="Consolas"/>
                <w:sz w:val="16"/>
              </w:rPr>
              <w:t xml:space="preserve">    2'b01: data_out = {1'b0, {(W-1){1'b1}}}; // +127</w:t>
            </w:r>
          </w:p>
          <w:p w14:paraId="25F4F8EB" w14:textId="77777777" w:rsidR="00F05521" w:rsidRDefault="00A82D9E">
            <w:pPr>
              <w:spacing w:after="0"/>
            </w:pPr>
            <w:r>
              <w:rPr>
                <w:rFonts w:ascii="Consolas" w:eastAsia="Consolas" w:hAnsi="Consolas"/>
                <w:sz w:val="16"/>
              </w:rPr>
              <w:t xml:space="preserve">    default: data_out = temp2_out[W-1:0];</w:t>
            </w:r>
          </w:p>
          <w:p w14:paraId="41FE0F23" w14:textId="77777777" w:rsidR="00F05521" w:rsidRDefault="00A82D9E">
            <w:pPr>
              <w:spacing w:after="0"/>
            </w:pPr>
            <w:r>
              <w:rPr>
                <w:rFonts w:ascii="Consolas" w:eastAsia="Consolas" w:hAnsi="Consolas"/>
                <w:sz w:val="16"/>
              </w:rPr>
              <w:t>endcase</w:t>
            </w:r>
          </w:p>
        </w:tc>
      </w:tr>
    </w:tbl>
    <w:p w14:paraId="3061D453" w14:textId="77777777" w:rsidR="00F05521" w:rsidRDefault="00A82D9E">
      <w:pPr>
        <w:spacing w:before="60" w:after="160"/>
        <w:jc w:val="center"/>
      </w:pPr>
      <w:r>
        <w:rPr>
          <w:rFonts w:eastAsia="Times New Roman"/>
          <w:b/>
          <w:sz w:val="18"/>
        </w:rPr>
        <w:t xml:space="preserve">Listing 1. </w:t>
      </w:r>
      <w:r>
        <w:rPr>
          <w:rFonts w:eastAsia="Times New Roman"/>
          <w:sz w:val="18"/>
        </w:rPr>
        <w:t>Round-half-up and saturate operator, right_shifter.v (Eq. 1).</w:t>
      </w:r>
    </w:p>
    <w:p w14:paraId="341B3318" w14:textId="77777777" w:rsidR="00F05521" w:rsidRDefault="00A82D9E">
      <w:pPr>
        <w:spacing w:before="160" w:after="80"/>
      </w:pPr>
      <w:r>
        <w:rPr>
          <w:rFonts w:eastAsia="Times New Roman"/>
          <w:b/>
          <w:i/>
        </w:rPr>
        <w:t>B. Fixed-Point Non-Linear Arithmetic Engines</w:t>
      </w:r>
    </w:p>
    <w:p w14:paraId="1283E960" w14:textId="77777777" w:rsidR="00F05521" w:rsidRDefault="00A82D9E">
      <w:pPr>
        <w:spacing w:after="120"/>
        <w:ind w:firstLine="288"/>
        <w:jc w:val="both"/>
      </w:pPr>
      <w:r>
        <w:rPr>
          <w:rFonts w:eastAsia="Times New Roman"/>
        </w:rPr>
        <w:t>Softmax normalization (Softmax_control / Softmax) is a three-pass scalar architecture operating on one buffered row at a time: pass one finds the row maximum via a running comparator; pass two streams the row a second time, computing and accumulating exp(x−max) via a base-2 exponential approximation (a rational scaling of x by log₂(e), split into integer and fractional components with linear interpolation of the fractional power-of-two term); pass three streams the row a third time, computing the final norm</w:t>
      </w:r>
      <w:r>
        <w:rPr>
          <w:rFonts w:eastAsia="Times New Roman"/>
        </w:rPr>
        <w:t>alized value exp(x−max−ln(Σ)) using a second instance of the same exponential unit combined with a piecewise logarithm approximation (Ln_module) to avoid an explicit division. Formally, for a row x with elements xᵢ, the three passes compute</w:t>
      </w:r>
    </w:p>
    <w:p w14:paraId="699CD08E" w14:textId="77777777" w:rsidR="00F05521" w:rsidRDefault="00A82D9E">
      <w:pPr>
        <w:spacing w:before="80" w:after="0"/>
        <w:jc w:val="center"/>
      </w:pPr>
      <w:r>
        <w:rPr>
          <w:rFonts w:eastAsia="Times New Roman"/>
          <w:i/>
        </w:rPr>
        <w:t>m = maxᵢ(xᵢ)</w:t>
      </w:r>
    </w:p>
    <w:p w14:paraId="3FF9B8C5" w14:textId="77777777" w:rsidR="00F05521" w:rsidRDefault="00A82D9E">
      <w:pPr>
        <w:spacing w:after="0"/>
        <w:jc w:val="center"/>
      </w:pPr>
      <w:r>
        <w:rPr>
          <w:rFonts w:eastAsia="Times New Roman"/>
          <w:i/>
        </w:rPr>
        <w:t>S = Σᵢ 2^((xᵢ − m)·log₂e)</w:t>
      </w:r>
    </w:p>
    <w:p w14:paraId="6A322798" w14:textId="77777777" w:rsidR="00F05521" w:rsidRDefault="00A82D9E">
      <w:pPr>
        <w:spacing w:after="80"/>
        <w:jc w:val="center"/>
      </w:pPr>
      <w:r>
        <w:rPr>
          <w:rFonts w:eastAsia="Times New Roman"/>
          <w:i/>
        </w:rPr>
        <w:t>yᵢ = 2^(((xᵢ − m) − ln S)·log₂e)</w:t>
      </w:r>
      <w:r>
        <w:rPr>
          <w:rFonts w:eastAsia="Times New Roman"/>
        </w:rPr>
        <w:t xml:space="preserve">    (2)</w:t>
      </w:r>
    </w:p>
    <w:p w14:paraId="2125DDBE" w14:textId="77777777" w:rsidR="00F05521" w:rsidRDefault="00A82D9E">
      <w:pPr>
        <w:spacing w:after="120"/>
        <w:ind w:firstLine="288"/>
        <w:jc w:val="both"/>
      </w:pPr>
      <w:r>
        <w:rPr>
          <w:rFonts w:eastAsia="Times New Roman"/>
        </w:rPr>
        <w:t>an exact base-2 reformulation of softmax(x)ᵢ = exp(xᵢ−m)/Σ that matches the hardware's own log₂(e)-scaled exponential and Ln_module log-domain division-avoidance strategy exactly, rather than the textbook exp/ln formulation alone. Fig. X depicts the resulting finite-state control flow: each of the three passes streams the full N-element row exactly once, strictly sequentially, for a total latency of 3N cycles per row — the structural origin of the serial Softmax bottleneck quantified in Section VII.B.</w:t>
      </w:r>
    </w:p>
    <w:p w14:paraId="44B88E9A" w14:textId="77777777" w:rsidR="00F05521" w:rsidRDefault="00A82D9E">
      <w:pPr>
        <w:spacing w:before="120"/>
        <w:jc w:val="center"/>
      </w:pPr>
      <w:r>
        <w:rPr>
          <w:noProof/>
        </w:rPr>
        <w:lastRenderedPageBreak/>
        <w:drawing>
          <wp:inline distT="0" distB="0" distL="0" distR="0" wp14:anchorId="0FFE4556" wp14:editId="28B6B2E2">
            <wp:extent cx="2743200" cy="3605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ftmax_fsm.png"/>
                    <pic:cNvPicPr/>
                  </pic:nvPicPr>
                  <pic:blipFill>
                    <a:blip r:embed="rId6"/>
                    <a:stretch>
                      <a:fillRect/>
                    </a:stretch>
                  </pic:blipFill>
                  <pic:spPr>
                    <a:xfrm>
                      <a:off x="0" y="0"/>
                      <a:ext cx="2743200" cy="3605349"/>
                    </a:xfrm>
                    <a:prstGeom prst="rect">
                      <a:avLst/>
                    </a:prstGeom>
                  </pic:spPr>
                </pic:pic>
              </a:graphicData>
            </a:graphic>
          </wp:inline>
        </w:drawing>
      </w:r>
    </w:p>
    <w:p w14:paraId="774375D8" w14:textId="77777777" w:rsidR="00F05521" w:rsidRDefault="00A82D9E">
      <w:pPr>
        <w:jc w:val="center"/>
      </w:pPr>
      <w:r>
        <w:rPr>
          <w:rFonts w:eastAsia="Times New Roman"/>
          <w:i/>
          <w:sz w:val="18"/>
        </w:rPr>
        <w:t>Fig. X. Softmax_control's 3-pass FSM and its per-pass equations (Eq. 2).</w:t>
      </w:r>
    </w:p>
    <w:p w14:paraId="720CDFBE" w14:textId="77777777" w:rsidR="00F05521" w:rsidRDefault="00A82D9E">
      <w:pPr>
        <w:spacing w:after="120"/>
        <w:ind w:firstLine="288"/>
        <w:jc w:val="both"/>
      </w:pPr>
      <w:r>
        <w:rPr>
          <w:rFonts w:eastAsia="Times New Roman"/>
        </w:rPr>
        <w:t>The GELU activation (gelu.v) is a two-segment piecewise-linear approximation: inputs beyond a fixed saturation threshold pass through unmodified or clamp to zero according to sign, and inputs within that range are computed via a linear correction term generated by a dedicated interpolation submodule (lin.v).</w:t>
      </w:r>
    </w:p>
    <w:p w14:paraId="72F07B06" w14:textId="77777777" w:rsidR="00F05521" w:rsidRDefault="00A82D9E">
      <w:pPr>
        <w:spacing w:before="160" w:after="80"/>
      </w:pPr>
      <w:r>
        <w:rPr>
          <w:rFonts w:eastAsia="Times New Roman"/>
          <w:b/>
          <w:i/>
        </w:rPr>
        <w:t>C. Numerical Quantization Strategy</w:t>
      </w:r>
    </w:p>
    <w:p w14:paraId="0EAC90E4" w14:textId="77777777" w:rsidR="00F05521" w:rsidRDefault="00A82D9E">
      <w:pPr>
        <w:spacing w:after="120"/>
        <w:ind w:firstLine="288"/>
        <w:jc w:val="both"/>
      </w:pPr>
      <w:r>
        <w:rPr>
          <w:rFonts w:eastAsia="Times New Roman"/>
        </w:rPr>
        <w:t>Features, weights, and pipeline output are all INT8. The matmul accumulates in extended precision before the shift-and-saturate step described above; Softmax and GELU each carry independent runtime-configurable fixed-point scale registers (softmax_scale_in, softmax_scale_out, gelu_scale), with softmax_scale_out and gelu_scale constrained equal so that the two activation stages interpret the shared int8 boundary between them consistently.</w:t>
      </w:r>
    </w:p>
    <w:p w14:paraId="0D3F2A1C" w14:textId="77777777" w:rsidR="00F05521" w:rsidRDefault="00A82D9E">
      <w:pPr>
        <w:spacing w:before="240" w:after="120"/>
        <w:jc w:val="center"/>
      </w:pPr>
      <w:r>
        <w:rPr>
          <w:rFonts w:eastAsia="Times New Roman"/>
          <w:b/>
          <w:sz w:val="22"/>
        </w:rPr>
        <w:t>III. RTL VERIFICATION &amp; BEHAVIORAL SIMULATION (CADENCE XCELIUM)</w:t>
      </w:r>
    </w:p>
    <w:p w14:paraId="4B3F3F40" w14:textId="77777777" w:rsidR="00F05521" w:rsidRDefault="00A82D9E">
      <w:pPr>
        <w:spacing w:before="160" w:after="80"/>
      </w:pPr>
      <w:r>
        <w:rPr>
          <w:rFonts w:eastAsia="Times New Roman"/>
          <w:b/>
          <w:i/>
        </w:rPr>
        <w:t>A. Testbench Architecture &amp; Golden Reference Model</w:t>
      </w:r>
    </w:p>
    <w:p w14:paraId="546A543D" w14:textId="77777777" w:rsidR="00F05521" w:rsidRDefault="00A82D9E">
      <w:pPr>
        <w:spacing w:after="120"/>
        <w:ind w:firstLine="288"/>
        <w:jc w:val="both"/>
      </w:pPr>
      <w:r>
        <w:rPr>
          <w:rFonts w:eastAsia="Times New Roman"/>
        </w:rPr>
        <w:t xml:space="preserve">Four SystemVerilog testbenches (gelu_tb, Softmax_top_tb, MM_Ultra_tb, and an integration-level transformer_block_tb) </w:t>
      </w:r>
      <w:r>
        <w:rPr>
          <w:rFonts w:eastAsia="Times New Roman"/>
        </w:rPr>
        <w:t>each implement a real-valued ($real) golden reference directly in SystemVerilog: an integer matmul with the same round-half-up-and-saturate rule as the RTL shifter, a numerically stable softmax via $exp, and a tanh-approximation GELU via $tanh. The integration testbench chains all three references to validate the full streaming pipeline against one coherent golden model.</w:t>
      </w:r>
    </w:p>
    <w:p w14:paraId="0E2E87C6" w14:textId="77777777" w:rsidR="00F05521" w:rsidRDefault="00A82D9E">
      <w:pPr>
        <w:spacing w:before="160" w:after="80"/>
      </w:pPr>
      <w:r>
        <w:rPr>
          <w:rFonts w:eastAsia="Times New Roman"/>
          <w:b/>
          <w:i/>
        </w:rPr>
        <w:t>B. Simulation Results &amp; Numerical Precision Verification</w:t>
      </w:r>
    </w:p>
    <w:p w14:paraId="2A1B61B7" w14:textId="77777777" w:rsidR="00F05521" w:rsidRDefault="00A82D9E">
      <w:pPr>
        <w:spacing w:after="120"/>
        <w:ind w:firstLine="288"/>
        <w:jc w:val="both"/>
      </w:pPr>
      <w:r>
        <w:rPr>
          <w:rFonts w:eastAsia="Times New Roman"/>
        </w:rPr>
        <w:t>Verification is tolerance-bounded throughout, not exact-match: unit-level tests compare against a scale-dependent LSB threshold, and the full-pipeline integration test uses a 6-LSB tolerance at the shared Softmax-output/GELU scale to absorb error compounding across the two INT8 quantization boundaries. At full scale (200×96×160), the integration run recorded zero of 32,000 output elements outside tolerance, with an 18,083-cycle end-to-end pipeline latency.</w:t>
      </w:r>
    </w:p>
    <w:p w14:paraId="77807874" w14:textId="77777777" w:rsidR="00F05521" w:rsidRDefault="00A82D9E">
      <w:pPr>
        <w:spacing w:before="160" w:after="80"/>
      </w:pPr>
      <w:r>
        <w:rPr>
          <w:rFonts w:eastAsia="Times New Roman"/>
          <w:b/>
          <w:i/>
        </w:rPr>
        <w:t>C. Pre-Silicon Logic Debugging</w:t>
      </w:r>
    </w:p>
    <w:p w14:paraId="1699E537" w14:textId="77777777" w:rsidR="00F05521" w:rsidRDefault="00A82D9E">
      <w:pPr>
        <w:spacing w:after="120"/>
        <w:ind w:firstLine="288"/>
        <w:jc w:val="both"/>
      </w:pPr>
      <w:r>
        <w:rPr>
          <w:rFonts w:eastAsia="Times New Roman"/>
        </w:rPr>
        <w:t>Three representative issues surfaced during simulation bring-up: a stimulus-side forward-reference bug in a testbench control signal; an Xcelium elaboration-time memory blowup traced to a generate-loop-unrolled per-scalar wire array that scaled combinatorially with matrix size, resolved by replacing it with an on-demand packing function; and a datapath port declared as output reg rather than output wire, which was silently dropped during elaboration rather than flagged as an error.</w:t>
      </w:r>
    </w:p>
    <w:p w14:paraId="28FB3830" w14:textId="77777777" w:rsidR="00F05521" w:rsidRDefault="00A82D9E">
      <w:pPr>
        <w:spacing w:before="240" w:after="120"/>
        <w:jc w:val="center"/>
      </w:pPr>
      <w:r>
        <w:rPr>
          <w:rFonts w:eastAsia="Times New Roman"/>
          <w:b/>
          <w:sz w:val="22"/>
        </w:rPr>
        <w:t>IV. SOC INTEGRATION &amp; HARDWARE PLATFORM DESIGN (PYNQ-Z2 / ZYNQ-7020)</w:t>
      </w:r>
    </w:p>
    <w:p w14:paraId="48A74EAC" w14:textId="77777777" w:rsidR="00F05521" w:rsidRDefault="00A82D9E">
      <w:pPr>
        <w:spacing w:before="160" w:after="80"/>
      </w:pPr>
      <w:r>
        <w:rPr>
          <w:rFonts w:eastAsia="Times New Roman"/>
          <w:b/>
          <w:i/>
        </w:rPr>
        <w:t>A. SoC Architecture</w:t>
      </w:r>
    </w:p>
    <w:p w14:paraId="5581F007" w14:textId="77777777" w:rsidR="00F05521" w:rsidRDefault="00A82D9E">
      <w:pPr>
        <w:spacing w:after="120"/>
        <w:ind w:firstLine="288"/>
        <w:jc w:val="both"/>
      </w:pPr>
      <w:r>
        <w:rPr>
          <w:rFonts w:eastAsia="Times New Roman"/>
        </w:rPr>
        <w:t>The accelerator is wrapped as an AXI4-Lite-controlled, dual AXI4-Stream-slave / single AXI4-Stream-master peripheral (transformer_block_axi_top) and integrated alongside the Zynq-7020's dual-core ARM Cortex-A9 processing system, an AXI SmartConnect interconnect, and three independent AXI Direct Memory Access engines (feature, weight, and result channels) via Xilinx IP Integrator. Fig. Y shows the complete top-level datapath: the PS7 configures the pipeline over AXI-Lite and streams feature and weight tensor</w:t>
      </w:r>
      <w:r>
        <w:rPr>
          <w:rFonts w:eastAsia="Times New Roman"/>
        </w:rPr>
        <w:t>s in via two MM2S DMA channels, while a third, independent S2MM channel returns the GELU stage's output; internally, width-adapter glue logic bridges each stage's differing datapath width, exactly as detailed in Section IV.B.</w:t>
      </w:r>
    </w:p>
    <w:p w14:paraId="74E22AAF" w14:textId="77777777" w:rsidR="00F05521" w:rsidRDefault="00F05521">
      <w:pPr>
        <w:sectPr w:rsidR="00F05521">
          <w:type w:val="continuous"/>
          <w:pgSz w:w="12240" w:h="15840"/>
          <w:pgMar w:top="1077" w:right="850" w:bottom="1417" w:left="850" w:header="720" w:footer="720" w:gutter="0"/>
          <w:cols w:num="2" w:space="360"/>
          <w:docGrid w:linePitch="360"/>
        </w:sectPr>
      </w:pPr>
    </w:p>
    <w:p w14:paraId="238C7C3A" w14:textId="77777777" w:rsidR="00F05521" w:rsidRDefault="00A82D9E">
      <w:pPr>
        <w:spacing w:before="120"/>
        <w:jc w:val="center"/>
      </w:pPr>
      <w:r>
        <w:rPr>
          <w:noProof/>
        </w:rPr>
        <w:lastRenderedPageBreak/>
        <w:drawing>
          <wp:inline distT="0" distB="0" distL="0" distR="0" wp14:anchorId="03F95C40" wp14:editId="1054B60E">
            <wp:extent cx="6400800" cy="223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c_architecture.png"/>
                    <pic:cNvPicPr/>
                  </pic:nvPicPr>
                  <pic:blipFill>
                    <a:blip r:embed="rId7"/>
                    <a:stretch>
                      <a:fillRect/>
                    </a:stretch>
                  </pic:blipFill>
                  <pic:spPr>
                    <a:xfrm>
                      <a:off x="0" y="0"/>
                      <a:ext cx="6400800" cy="2235200"/>
                    </a:xfrm>
                    <a:prstGeom prst="rect">
                      <a:avLst/>
                    </a:prstGeom>
                  </pic:spPr>
                </pic:pic>
              </a:graphicData>
            </a:graphic>
          </wp:inline>
        </w:drawing>
      </w:r>
    </w:p>
    <w:p w14:paraId="5F869243" w14:textId="77777777" w:rsidR="00F05521" w:rsidRDefault="00A82D9E">
      <w:pPr>
        <w:jc w:val="center"/>
      </w:pPr>
      <w:r>
        <w:rPr>
          <w:rFonts w:eastAsia="Times New Roman"/>
          <w:i/>
          <w:sz w:val="18"/>
        </w:rPr>
        <w:t>Fig. Y. Complete top-level SoC architecture: PS7, three AXI DMA channels, and the transformer_block_axi_top internal pipeline.</w:t>
      </w:r>
    </w:p>
    <w:p w14:paraId="48A60256" w14:textId="77777777" w:rsidR="00F05521" w:rsidRDefault="00F05521">
      <w:pPr>
        <w:sectPr w:rsidR="00F05521">
          <w:type w:val="continuous"/>
          <w:pgSz w:w="12240" w:h="15840"/>
          <w:pgMar w:top="1077" w:right="850" w:bottom="1417" w:left="850" w:header="720" w:footer="720" w:gutter="0"/>
          <w:cols w:space="360"/>
          <w:docGrid w:linePitch="360"/>
        </w:sectPr>
      </w:pPr>
    </w:p>
    <w:p w14:paraId="23B46999" w14:textId="77777777" w:rsidR="00F05521" w:rsidRDefault="00A82D9E">
      <w:pPr>
        <w:spacing w:before="160" w:after="80"/>
      </w:pPr>
      <w:r>
        <w:rPr>
          <w:rFonts w:eastAsia="Times New Roman"/>
          <w:b/>
          <w:i/>
        </w:rPr>
        <w:t>B. Physical Adaptations for Board Deployment</w:t>
      </w:r>
    </w:p>
    <w:p w14:paraId="5B43C994" w14:textId="77777777" w:rsidR="00F05521" w:rsidRDefault="00A82D9E">
      <w:pPr>
        <w:spacing w:after="120"/>
        <w:ind w:firstLine="288"/>
        <w:jc w:val="both"/>
      </w:pPr>
      <w:r>
        <w:rPr>
          <w:rFonts w:eastAsia="Times New Roman"/>
        </w:rPr>
        <w:t>Integration surfaced two categories of adaptation beyond the standalone core. First, a synthesis-time design rule check flagged over 40 instances of block-RAM control logic driven by asynchronously reset registers inside the input/output buffers — a pattern Xilinx's own methodology documentation warns can corrupt memory contents outside static timing analysis' visibility. This was resolved across twelve RTL files by converting every affected sensitivity list from asynchronous to synchronous reset. Second, b</w:t>
      </w:r>
      <w:r>
        <w:rPr>
          <w:rFonts w:eastAsia="Times New Roman"/>
        </w:rPr>
        <w:t>ridging the array's A_size-wide parallel datapath to Softmax's serial, one-scalar-per-cycle interface (and back to GELU's narrower parallel lanes) required bespoke AXI4-Stream width converters and a purpose-built row-boundary signal, since the matmul core's own frame-completion signal marks only the end of the entire matrix, not each row.</w:t>
      </w:r>
    </w:p>
    <w:p w14:paraId="5299190B" w14:textId="77777777" w:rsidR="00F05521" w:rsidRDefault="00A82D9E">
      <w:pPr>
        <w:spacing w:before="160" w:after="80"/>
      </w:pPr>
      <w:r>
        <w:rPr>
          <w:rFonts w:eastAsia="Times New Roman"/>
          <w:b/>
          <w:i/>
        </w:rPr>
        <w:t>C. Software Infrastructure for Hardware Bring-Up</w:t>
      </w:r>
    </w:p>
    <w:p w14:paraId="56629283" w14:textId="77777777" w:rsidR="00F05521" w:rsidRDefault="00A82D9E">
      <w:pPr>
        <w:spacing w:after="120"/>
        <w:ind w:firstLine="288"/>
        <w:jc w:val="both"/>
      </w:pPr>
      <w:r>
        <w:rPr>
          <w:rFonts w:eastAsia="Times New Roman"/>
        </w:rPr>
        <w:t>To extend the tolerance-bounded methodology of Section III to physical silicon, the SystemVerilog golden references were ported to a bit-faithful Python/NumPy implementation, cross-checked against the RTL shifter's exact rounding behavior rather than assumed equivalent, and used to validate hardware output read back over the board's PYNQ Python driver.</w:t>
      </w:r>
    </w:p>
    <w:p w14:paraId="1E9B8B6D" w14:textId="77777777" w:rsidR="00F05521" w:rsidRDefault="00A82D9E">
      <w:pPr>
        <w:spacing w:before="240" w:after="120"/>
        <w:jc w:val="center"/>
      </w:pPr>
      <w:r>
        <w:rPr>
          <w:rFonts w:eastAsia="Times New Roman"/>
          <w:b/>
          <w:sz w:val="22"/>
        </w:rPr>
        <w:t>V. PHYSICAL IMPLEMENTATION, P&amp;R, AND SIGN-OFF OPTIMIZATIONS</w:t>
      </w:r>
    </w:p>
    <w:p w14:paraId="50409449" w14:textId="77777777" w:rsidR="00F05521" w:rsidRDefault="00A82D9E">
      <w:pPr>
        <w:spacing w:before="160" w:after="80"/>
      </w:pPr>
      <w:r>
        <w:rPr>
          <w:rFonts w:eastAsia="Times New Roman"/>
          <w:b/>
          <w:i/>
        </w:rPr>
        <w:t>A. Baseline Physical Sign-Off</w:t>
      </w:r>
    </w:p>
    <w:p w14:paraId="58859D7E" w14:textId="77777777" w:rsidR="00F05521" w:rsidRDefault="00A82D9E">
      <w:pPr>
        <w:spacing w:after="120"/>
        <w:ind w:firstLine="288"/>
        <w:jc w:val="both"/>
      </w:pPr>
      <w:r>
        <w:rPr>
          <w:rFonts w:eastAsia="Times New Roman"/>
        </w:rPr>
        <w:t>The first complete post-route signoff of the full SoC closed timing at the 100 MHz target with a Worst Negative Slack (WNS) of +0.361 ns and a Vivado-estimated total on-chip power of 1.741 W (1.590 W dynamic, 0.151 W static).</w:t>
      </w:r>
    </w:p>
    <w:p w14:paraId="18F7D6F9" w14:textId="77777777" w:rsidR="00F05521" w:rsidRDefault="00A82D9E">
      <w:pPr>
        <w:spacing w:before="160" w:after="80"/>
      </w:pPr>
      <w:r>
        <w:rPr>
          <w:rFonts w:eastAsia="Times New Roman"/>
          <w:b/>
          <w:i/>
        </w:rPr>
        <w:t>B. The DSP Inference Gap &amp; Attribute Resolution</w:t>
      </w:r>
    </w:p>
    <w:p w14:paraId="76FECD05" w14:textId="77777777" w:rsidR="00F05521" w:rsidRDefault="00A82D9E">
      <w:pPr>
        <w:spacing w:after="120"/>
        <w:ind w:firstLine="288"/>
        <w:jc w:val="both"/>
      </w:pPr>
      <w:r>
        <w:rPr>
          <w:rFonts w:eastAsia="Times New Roman"/>
        </w:rPr>
        <w:t>Post-route utilization at this baseline was LUT-bound rather than DSP-bound: only 13 of 220 available DSP48E1 slices (5.91%) were in use while Slice LUTs sat at 56.91%, despite the 256-MAC systolic array being the design's dominant arithmetic structure — a strong signal that the array's multiply-accumulate operations were being synthesized into general LUT/CARRY4 fabric instead of dedicated DSP hard macros. Root-causing traced this to a synthesis attribute scoped at the wrong granularity relative to Vivado'</w:t>
      </w:r>
      <w:r>
        <w:rPr>
          <w:rFonts w:eastAsia="Times New Roman"/>
        </w:rPr>
        <w:t>s register-level DSP inference rules (cf. Xilinx UG901 [6]): as Listing 2 shows, attaching use_dsp to the enclosing always block is a silent no-op — synthesis produced byte-identical LUT/DSP/CARRY4 counts regardless of its value — whereas attaching it to the register declaration that actually holds the multiply-accumulate result is what Vivado's inference pass recognizes.</w:t>
      </w:r>
    </w:p>
    <w:tbl>
      <w:tblPr>
        <w:tblW w:w="0" w:type="auto"/>
        <w:tblLook w:val="04A0" w:firstRow="1" w:lastRow="0" w:firstColumn="1" w:lastColumn="0" w:noHBand="0" w:noVBand="1"/>
      </w:tblPr>
      <w:tblGrid>
        <w:gridCol w:w="5306"/>
      </w:tblGrid>
      <w:tr w:rsidR="00F05521" w14:paraId="0AA5F1F9" w14:textId="77777777">
        <w:tc>
          <w:tcPr>
            <w:tcW w:w="10540" w:type="dxa"/>
            <w:shd w:val="clear" w:color="auto" w:fill="F2F2F0"/>
          </w:tcPr>
          <w:p w14:paraId="280C2C5C" w14:textId="77777777" w:rsidR="00F05521" w:rsidRDefault="00A82D9E">
            <w:pPr>
              <w:spacing w:after="0"/>
            </w:pPr>
            <w:r>
              <w:rPr>
                <w:rFonts w:ascii="Consolas" w:eastAsia="Consolas" w:hAnsi="Consolas"/>
                <w:sz w:val="16"/>
              </w:rPr>
              <w:t>// PE.v -- BEFORE: attribute on the always block (no-op)</w:t>
            </w:r>
          </w:p>
          <w:p w14:paraId="760E7C7E" w14:textId="77777777" w:rsidR="00F05521" w:rsidRDefault="00A82D9E">
            <w:pPr>
              <w:spacing w:after="0"/>
            </w:pPr>
            <w:r>
              <w:rPr>
                <w:rFonts w:ascii="Consolas" w:eastAsia="Consolas" w:hAnsi="Consolas"/>
                <w:sz w:val="16"/>
              </w:rPr>
              <w:t>(* use_dsp = "yes" *)</w:t>
            </w:r>
          </w:p>
          <w:p w14:paraId="24CADB05" w14:textId="77777777" w:rsidR="00F05521" w:rsidRDefault="00A82D9E">
            <w:pPr>
              <w:spacing w:after="0"/>
            </w:pPr>
            <w:r>
              <w:rPr>
                <w:rFonts w:ascii="Consolas" w:eastAsia="Consolas" w:hAnsi="Consolas"/>
                <w:sz w:val="16"/>
              </w:rPr>
              <w:t>always @(posedge clk) begin</w:t>
            </w:r>
          </w:p>
          <w:p w14:paraId="1541225D" w14:textId="77777777" w:rsidR="00F05521" w:rsidRDefault="00A82D9E">
            <w:pPr>
              <w:spacing w:after="0"/>
            </w:pPr>
            <w:r>
              <w:rPr>
                <w:rFonts w:ascii="Consolas" w:eastAsia="Consolas" w:hAnsi="Consolas"/>
                <w:sz w:val="16"/>
              </w:rPr>
              <w:t xml:space="preserve">    psum_out &lt;= psum_in + x_in*reg_w;</w:t>
            </w:r>
          </w:p>
          <w:p w14:paraId="7ED01190" w14:textId="77777777" w:rsidR="00F05521" w:rsidRDefault="00A82D9E">
            <w:pPr>
              <w:spacing w:after="0"/>
            </w:pPr>
            <w:r>
              <w:rPr>
                <w:rFonts w:ascii="Consolas" w:eastAsia="Consolas" w:hAnsi="Consolas"/>
                <w:sz w:val="16"/>
              </w:rPr>
              <w:t>end</w:t>
            </w:r>
          </w:p>
          <w:p w14:paraId="0F3EC1F8" w14:textId="77777777" w:rsidR="00F05521" w:rsidRDefault="00A82D9E">
            <w:pPr>
              <w:spacing w:after="0"/>
            </w:pPr>
            <w:r>
              <w:rPr>
                <w:rFonts w:ascii="Consolas" w:eastAsia="Consolas" w:hAnsi="Consolas"/>
                <w:sz w:val="16"/>
              </w:rPr>
              <w:t xml:space="preserve"> </w:t>
            </w:r>
          </w:p>
          <w:p w14:paraId="75A3F5EC" w14:textId="77777777" w:rsidR="00F05521" w:rsidRDefault="00A82D9E">
            <w:pPr>
              <w:spacing w:after="0"/>
            </w:pPr>
            <w:r>
              <w:rPr>
                <w:rFonts w:ascii="Consolas" w:eastAsia="Consolas" w:hAnsi="Consolas"/>
                <w:sz w:val="16"/>
              </w:rPr>
              <w:t>// AFTER: attribute on the register declaration (per UG901)</w:t>
            </w:r>
          </w:p>
          <w:p w14:paraId="2E1E4CBB" w14:textId="77777777" w:rsidR="00F05521" w:rsidRDefault="00A82D9E">
            <w:pPr>
              <w:spacing w:after="0"/>
            </w:pPr>
            <w:r>
              <w:rPr>
                <w:rFonts w:ascii="Consolas" w:eastAsia="Consolas" w:hAnsi="Consolas"/>
                <w:sz w:val="16"/>
              </w:rPr>
              <w:t>(* use_dsp = "yes" *) reg signed</w:t>
            </w:r>
          </w:p>
          <w:p w14:paraId="5B726E49" w14:textId="77777777" w:rsidR="00F05521" w:rsidRDefault="00A82D9E">
            <w:pPr>
              <w:spacing w:after="0"/>
            </w:pPr>
            <w:r>
              <w:rPr>
                <w:rFonts w:ascii="Consolas" w:eastAsia="Consolas" w:hAnsi="Consolas"/>
                <w:sz w:val="16"/>
              </w:rPr>
              <w:t xml:space="preserve">    [2*data_width+log2_array_m-1:0] psum_out_r;</w:t>
            </w:r>
          </w:p>
          <w:p w14:paraId="4FFDC3E1" w14:textId="77777777" w:rsidR="00F05521" w:rsidRDefault="00A82D9E">
            <w:pPr>
              <w:spacing w:after="0"/>
            </w:pPr>
            <w:r>
              <w:rPr>
                <w:rFonts w:ascii="Consolas" w:eastAsia="Consolas" w:hAnsi="Consolas"/>
                <w:sz w:val="16"/>
              </w:rPr>
              <w:t>always @(posedge clk)</w:t>
            </w:r>
          </w:p>
          <w:p w14:paraId="55507504" w14:textId="77777777" w:rsidR="00F05521" w:rsidRDefault="00A82D9E">
            <w:pPr>
              <w:spacing w:after="0"/>
            </w:pPr>
            <w:r>
              <w:rPr>
                <w:rFonts w:ascii="Consolas" w:eastAsia="Consolas" w:hAnsi="Consolas"/>
                <w:sz w:val="16"/>
              </w:rPr>
              <w:t xml:space="preserve">    psum_out_r &lt;= psum_in + x_in*reg_w;</w:t>
            </w:r>
          </w:p>
        </w:tc>
      </w:tr>
    </w:tbl>
    <w:p w14:paraId="1B4096EE" w14:textId="77777777" w:rsidR="00F05521" w:rsidRDefault="00A82D9E">
      <w:pPr>
        <w:spacing w:before="60" w:after="160"/>
        <w:jc w:val="center"/>
      </w:pPr>
      <w:r>
        <w:rPr>
          <w:rFonts w:eastAsia="Times New Roman"/>
          <w:b/>
          <w:sz w:val="18"/>
        </w:rPr>
        <w:t xml:space="preserve">Listing 2. </w:t>
      </w:r>
      <w:r>
        <w:rPr>
          <w:rFonts w:eastAsia="Times New Roman"/>
          <w:sz w:val="18"/>
        </w:rPr>
        <w:t>The UG901 DSP-inference attribute-placement fix, PE.v.</w:t>
      </w:r>
    </w:p>
    <w:p w14:paraId="17EAE827" w14:textId="77777777" w:rsidR="00F05521" w:rsidRDefault="00A82D9E">
      <w:pPr>
        <w:spacing w:after="120"/>
        <w:ind w:firstLine="288"/>
        <w:jc w:val="both"/>
      </w:pPr>
      <w:r>
        <w:rPr>
          <w:rFonts w:eastAsia="Times New Roman"/>
        </w:rPr>
        <w:t xml:space="preserve">Correcting the attribute placement alone would map all 256 PEs to DSP48E1 hard macros — more than the xc7z020's 220-slice budget once Softmax and GELU's own arithmetic (≈13 DSPs) is accounted for. PE_array.v therefore parameterizes the split per PE row (NUM_DSP_ROWS = 12 of 16), mapping exactly 192 of 256 PEs to DSP48E1 and leaving the remaining </w:t>
      </w:r>
      <w:r>
        <w:rPr>
          <w:rFonts w:eastAsia="Times New Roman"/>
        </w:rPr>
        <w:lastRenderedPageBreak/>
        <w:t>4 rows (64 PEs) LUT/CARRY4-mapped — a deliberate, budget-sized partial mapping, not an all-or-nothing switch. This reduced full-SoC post-route Slice LUTs by 49.3% (30,276 → 15,363) and CARRY4 primitives by 61.8% (4,874 → 1,862), brought DSP48E1 usage to 205 of 220 (192 from the array plus Softmax/GELU's ≈13), and reduced total on-chip power by 3.1% to 1.687 W.</w:t>
      </w:r>
    </w:p>
    <w:p w14:paraId="29D8E2C8" w14:textId="77777777" w:rsidR="00F05521" w:rsidRDefault="00A82D9E">
      <w:pPr>
        <w:spacing w:before="160" w:after="80"/>
      </w:pPr>
      <w:r>
        <w:rPr>
          <w:rFonts w:eastAsia="Times New Roman"/>
          <w:b/>
          <w:i/>
        </w:rPr>
        <w:t>C. Physical Congestion vs. Timing Trade-Off</w:t>
      </w:r>
    </w:p>
    <w:p w14:paraId="0080D87E" w14:textId="77777777" w:rsidR="00F05521" w:rsidRDefault="00A82D9E">
      <w:pPr>
        <w:spacing w:after="120"/>
        <w:ind w:firstLine="288"/>
        <w:jc w:val="both"/>
      </w:pPr>
      <w:r>
        <w:rPr>
          <w:rFonts w:eastAsia="Times New Roman"/>
        </w:rPr>
        <w:t>The same fix concentrated 205 of 220 DSP48E1 slices (93.18% of the device's entire DSP column capacity, 15 slices of headroom remaining) into a much denser physical footprint than the previous LUT-diffuse implementation. Post-route WNS correspondingly tightened from +0.361 ns to +0.293 ns (≈19% less margin, timing still met) — an expected, explicitly-anticipated trade-off between area/power efficiency and routing congestion around a densely packed DSP column, not a regression.</w:t>
      </w:r>
    </w:p>
    <w:p w14:paraId="69FE1856" w14:textId="77777777" w:rsidR="00F05521" w:rsidRDefault="00A82D9E">
      <w:pPr>
        <w:spacing w:before="160" w:after="80"/>
      </w:pPr>
      <w:r>
        <w:rPr>
          <w:rFonts w:eastAsia="Times New Roman"/>
          <w:b/>
          <w:i/>
        </w:rPr>
        <w:t>D. Bitstream &amp; Hardware Platform Sign-Off</w:t>
      </w:r>
    </w:p>
    <w:p w14:paraId="53F88EC8" w14:textId="77777777" w:rsidR="00F05521" w:rsidRDefault="00A82D9E">
      <w:pPr>
        <w:spacing w:after="120"/>
        <w:ind w:firstLine="288"/>
        <w:jc w:val="both"/>
      </w:pPr>
      <w:r>
        <w:rPr>
          <w:rFonts w:eastAsia="Times New Roman"/>
        </w:rPr>
        <w:t>The signed-off, DSP-corrected checkpoint passed pre-bitstream design rule checking with zero errors and generated a bitstream with zero warnings and zero critical warnings, exported as design.bit and a fixed hardware platform archive (design.xsa) for downstream software and PYNQ deployment.</w:t>
      </w:r>
    </w:p>
    <w:p w14:paraId="018A7769" w14:textId="77777777" w:rsidR="00F05521" w:rsidRDefault="00A82D9E">
      <w:pPr>
        <w:spacing w:before="120" w:after="40"/>
        <w:jc w:val="center"/>
      </w:pPr>
      <w:r>
        <w:rPr>
          <w:rFonts w:eastAsia="Times New Roman"/>
          <w:sz w:val="18"/>
        </w:rPr>
        <w:t>TABLE I. POST-ROUTE SIGNOFF METRICS, BEFORE/AFTER THE DSP-INFERENCE FIX</w:t>
      </w:r>
    </w:p>
    <w:tbl>
      <w:tblPr>
        <w:tblStyle w:val="-11"/>
        <w:tblW w:w="0" w:type="auto"/>
        <w:tblLook w:val="04A0" w:firstRow="1" w:lastRow="0" w:firstColumn="1" w:lastColumn="0" w:noHBand="0" w:noVBand="1"/>
      </w:tblPr>
      <w:tblGrid>
        <w:gridCol w:w="1364"/>
        <w:gridCol w:w="1339"/>
        <w:gridCol w:w="1339"/>
        <w:gridCol w:w="1264"/>
      </w:tblGrid>
      <w:tr w:rsidR="00F05521" w14:paraId="6421423B" w14:textId="77777777" w:rsidTr="00F05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3813A813" w14:textId="77777777" w:rsidR="00F05521" w:rsidRDefault="00A82D9E">
            <w:r>
              <w:rPr>
                <w:rFonts w:eastAsia="Times New Roman"/>
                <w:sz w:val="17"/>
              </w:rPr>
              <w:t>Metric</w:t>
            </w:r>
          </w:p>
        </w:tc>
        <w:tc>
          <w:tcPr>
            <w:tcW w:w="2635" w:type="dxa"/>
          </w:tcPr>
          <w:p w14:paraId="6523ABD4" w14:textId="77777777" w:rsidR="00F05521" w:rsidRDefault="00A82D9E">
            <w:pPr>
              <w:cnfStyle w:val="100000000000" w:firstRow="1" w:lastRow="0" w:firstColumn="0" w:lastColumn="0" w:oddVBand="0" w:evenVBand="0" w:oddHBand="0" w:evenHBand="0" w:firstRowFirstColumn="0" w:firstRowLastColumn="0" w:lastRowFirstColumn="0" w:lastRowLastColumn="0"/>
            </w:pPr>
            <w:r>
              <w:rPr>
                <w:rFonts w:eastAsia="Times New Roman"/>
                <w:sz w:val="17"/>
              </w:rPr>
              <w:t>Before fix</w:t>
            </w:r>
          </w:p>
        </w:tc>
        <w:tc>
          <w:tcPr>
            <w:tcW w:w="2635" w:type="dxa"/>
          </w:tcPr>
          <w:p w14:paraId="2483E1E6" w14:textId="77777777" w:rsidR="00F05521" w:rsidRDefault="00A82D9E">
            <w:pPr>
              <w:cnfStyle w:val="100000000000" w:firstRow="1" w:lastRow="0" w:firstColumn="0" w:lastColumn="0" w:oddVBand="0" w:evenVBand="0" w:oddHBand="0" w:evenHBand="0" w:firstRowFirstColumn="0" w:firstRowLastColumn="0" w:lastRowFirstColumn="0" w:lastRowLastColumn="0"/>
            </w:pPr>
            <w:r>
              <w:rPr>
                <w:rFonts w:eastAsia="Times New Roman"/>
                <w:sz w:val="17"/>
              </w:rPr>
              <w:t>After fix</w:t>
            </w:r>
          </w:p>
        </w:tc>
        <w:tc>
          <w:tcPr>
            <w:tcW w:w="2635" w:type="dxa"/>
          </w:tcPr>
          <w:p w14:paraId="727DEE06" w14:textId="77777777" w:rsidR="00F05521" w:rsidRDefault="00A82D9E">
            <w:pPr>
              <w:cnfStyle w:val="100000000000" w:firstRow="1" w:lastRow="0" w:firstColumn="0" w:lastColumn="0" w:oddVBand="0" w:evenVBand="0" w:oddHBand="0" w:evenHBand="0" w:firstRowFirstColumn="0" w:firstRowLastColumn="0" w:lastRowFirstColumn="0" w:lastRowLastColumn="0"/>
            </w:pPr>
            <w:r>
              <w:rPr>
                <w:rFonts w:eastAsia="Times New Roman"/>
                <w:sz w:val="17"/>
              </w:rPr>
              <w:t>Δ</w:t>
            </w:r>
          </w:p>
        </w:tc>
      </w:tr>
      <w:tr w:rsidR="00F05521" w14:paraId="7317C00D" w14:textId="77777777" w:rsidTr="00F05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6AF6BA8E" w14:textId="77777777" w:rsidR="00F05521" w:rsidRDefault="00A82D9E">
            <w:r>
              <w:rPr>
                <w:rFonts w:eastAsia="Times New Roman"/>
                <w:b w:val="0"/>
                <w:sz w:val="17"/>
              </w:rPr>
              <w:t>Slice LUTs (post-route, full SoC)</w:t>
            </w:r>
          </w:p>
        </w:tc>
        <w:tc>
          <w:tcPr>
            <w:tcW w:w="2635" w:type="dxa"/>
          </w:tcPr>
          <w:p w14:paraId="165FD3B9"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30,276 / 53,200 (56.91%)</w:t>
            </w:r>
          </w:p>
        </w:tc>
        <w:tc>
          <w:tcPr>
            <w:tcW w:w="2635" w:type="dxa"/>
          </w:tcPr>
          <w:p w14:paraId="754A16AD"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15,363 / 53,200 (28.88%)</w:t>
            </w:r>
          </w:p>
        </w:tc>
        <w:tc>
          <w:tcPr>
            <w:tcW w:w="2635" w:type="dxa"/>
          </w:tcPr>
          <w:p w14:paraId="3654ED13"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−49.3%</w:t>
            </w:r>
          </w:p>
        </w:tc>
      </w:tr>
      <w:tr w:rsidR="00F05521" w14:paraId="73B560F1" w14:textId="77777777" w:rsidTr="00F055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12F9DDE" w14:textId="77777777" w:rsidR="00F05521" w:rsidRDefault="00A82D9E">
            <w:r>
              <w:rPr>
                <w:rFonts w:eastAsia="Times New Roman"/>
                <w:b w:val="0"/>
                <w:sz w:val="17"/>
              </w:rPr>
              <w:t>CARRY4 (post-route, full SoC)</w:t>
            </w:r>
          </w:p>
        </w:tc>
        <w:tc>
          <w:tcPr>
            <w:tcW w:w="2635" w:type="dxa"/>
          </w:tcPr>
          <w:p w14:paraId="4AC84442"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4,874 / 13,300</w:t>
            </w:r>
          </w:p>
        </w:tc>
        <w:tc>
          <w:tcPr>
            <w:tcW w:w="2635" w:type="dxa"/>
          </w:tcPr>
          <w:p w14:paraId="7FEF867E"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1,862 / 13,300</w:t>
            </w:r>
          </w:p>
        </w:tc>
        <w:tc>
          <w:tcPr>
            <w:tcW w:w="2635" w:type="dxa"/>
          </w:tcPr>
          <w:p w14:paraId="23078CE8"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−61.8%</w:t>
            </w:r>
          </w:p>
        </w:tc>
      </w:tr>
      <w:tr w:rsidR="00F05521" w14:paraId="227F978C" w14:textId="77777777" w:rsidTr="00F05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054F464" w14:textId="77777777" w:rsidR="00F05521" w:rsidRDefault="00A82D9E">
            <w:r>
              <w:rPr>
                <w:rFonts w:eastAsia="Times New Roman"/>
                <w:b w:val="0"/>
                <w:sz w:val="17"/>
              </w:rPr>
              <w:t>DSP48E1</w:t>
            </w:r>
          </w:p>
        </w:tc>
        <w:tc>
          <w:tcPr>
            <w:tcW w:w="2635" w:type="dxa"/>
          </w:tcPr>
          <w:p w14:paraId="2630571A"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13 / 220 (5.91%)</w:t>
            </w:r>
          </w:p>
        </w:tc>
        <w:tc>
          <w:tcPr>
            <w:tcW w:w="2635" w:type="dxa"/>
          </w:tcPr>
          <w:p w14:paraId="278A51D2"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205 / 220 (93.18%)</w:t>
            </w:r>
          </w:p>
        </w:tc>
        <w:tc>
          <w:tcPr>
            <w:tcW w:w="2635" w:type="dxa"/>
          </w:tcPr>
          <w:p w14:paraId="0071A2CF"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+192</w:t>
            </w:r>
          </w:p>
        </w:tc>
      </w:tr>
      <w:tr w:rsidR="00F05521" w14:paraId="38012F04" w14:textId="77777777" w:rsidTr="00F055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13E5A01E" w14:textId="77777777" w:rsidR="00F05521" w:rsidRDefault="00A82D9E">
            <w:r>
              <w:rPr>
                <w:rFonts w:eastAsia="Times New Roman"/>
                <w:b w:val="0"/>
                <w:sz w:val="17"/>
              </w:rPr>
              <w:t>WNS @ 100 MHz</w:t>
            </w:r>
          </w:p>
        </w:tc>
        <w:tc>
          <w:tcPr>
            <w:tcW w:w="2635" w:type="dxa"/>
          </w:tcPr>
          <w:p w14:paraId="6B3C5E19"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+0.361 ns</w:t>
            </w:r>
          </w:p>
        </w:tc>
        <w:tc>
          <w:tcPr>
            <w:tcW w:w="2635" w:type="dxa"/>
          </w:tcPr>
          <w:p w14:paraId="05F2DA50"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+0.293 ns</w:t>
            </w:r>
          </w:p>
        </w:tc>
        <w:tc>
          <w:tcPr>
            <w:tcW w:w="2635" w:type="dxa"/>
          </w:tcPr>
          <w:p w14:paraId="50ADD640"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−19% margin</w:t>
            </w:r>
          </w:p>
        </w:tc>
      </w:tr>
      <w:tr w:rsidR="00F05521" w14:paraId="25452E65" w14:textId="77777777" w:rsidTr="00F05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20757729" w14:textId="77777777" w:rsidR="00F05521" w:rsidRDefault="00A82D9E">
            <w:r>
              <w:rPr>
                <w:rFonts w:eastAsia="Times New Roman"/>
                <w:b w:val="0"/>
                <w:sz w:val="17"/>
              </w:rPr>
              <w:t>Total on-chip power</w:t>
            </w:r>
          </w:p>
        </w:tc>
        <w:tc>
          <w:tcPr>
            <w:tcW w:w="2635" w:type="dxa"/>
          </w:tcPr>
          <w:p w14:paraId="5569170A"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1.741 W</w:t>
            </w:r>
          </w:p>
        </w:tc>
        <w:tc>
          <w:tcPr>
            <w:tcW w:w="2635" w:type="dxa"/>
          </w:tcPr>
          <w:p w14:paraId="3BA5CED9"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1.687 W</w:t>
            </w:r>
          </w:p>
        </w:tc>
        <w:tc>
          <w:tcPr>
            <w:tcW w:w="2635" w:type="dxa"/>
          </w:tcPr>
          <w:p w14:paraId="62FD2A1B"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−3.1%</w:t>
            </w:r>
          </w:p>
        </w:tc>
      </w:tr>
    </w:tbl>
    <w:p w14:paraId="6A119156" w14:textId="77777777" w:rsidR="00F05521" w:rsidRDefault="00F05521">
      <w:pPr>
        <w:spacing w:after="160"/>
      </w:pPr>
    </w:p>
    <w:p w14:paraId="3F01765F" w14:textId="77777777" w:rsidR="00F05521" w:rsidRDefault="00A82D9E">
      <w:pPr>
        <w:spacing w:before="240" w:after="120"/>
        <w:jc w:val="center"/>
      </w:pPr>
      <w:r>
        <w:rPr>
          <w:rFonts w:eastAsia="Times New Roman"/>
          <w:b/>
          <w:sz w:val="22"/>
        </w:rPr>
        <w:t>VI. EXPERIMENTAL EVALUATION &amp; HARDWARE BRING-UP</w:t>
      </w:r>
    </w:p>
    <w:p w14:paraId="3626E418" w14:textId="77777777" w:rsidR="00F05521" w:rsidRDefault="00A82D9E">
      <w:pPr>
        <w:spacing w:before="160" w:after="80"/>
      </w:pPr>
      <w:r>
        <w:rPr>
          <w:rFonts w:eastAsia="Times New Roman"/>
          <w:b/>
          <w:i/>
        </w:rPr>
        <w:t>A. Benchmarking Methodology</w:t>
      </w:r>
    </w:p>
    <w:p w14:paraId="0D092E6F" w14:textId="77777777" w:rsidR="00F05521" w:rsidRDefault="00A82D9E">
      <w:pPr>
        <w:spacing w:after="120"/>
        <w:ind w:firstLine="288"/>
        <w:jc w:val="both"/>
      </w:pPr>
      <w:r>
        <w:rPr>
          <w:rFonts w:eastAsia="Times New Roman"/>
        </w:rPr>
        <w:t>Hardware kernel throughput was benchmarked on the physical PYNQ-Z2 against two matrix shapes representative of ViT-Tiny's real layer dimensions (embedding dimension 192, sequence length 197): a 192×192 projection-sized kernel and a 192×320 MLP-shaped kernel, each compared against an equivalent computation of the identical fused matmul-Softmax-GELU operation executed on the board's ARM Cortex-A9.</w:t>
      </w:r>
    </w:p>
    <w:p w14:paraId="34471744" w14:textId="77777777" w:rsidR="00F05521" w:rsidRDefault="00A82D9E">
      <w:pPr>
        <w:spacing w:before="160" w:after="80"/>
      </w:pPr>
      <w:r>
        <w:rPr>
          <w:rFonts w:eastAsia="Times New Roman"/>
          <w:b/>
          <w:i/>
        </w:rPr>
        <w:t>B. Performance Metrics &amp; Acceleration</w:t>
      </w:r>
    </w:p>
    <w:p w14:paraId="2654555C" w14:textId="77777777" w:rsidR="00F05521" w:rsidRDefault="00A82D9E">
      <w:pPr>
        <w:spacing w:after="120"/>
        <w:ind w:firstLine="288"/>
        <w:jc w:val="both"/>
      </w:pPr>
      <w:r>
        <w:rPr>
          <w:rFonts w:eastAsia="Times New Roman"/>
        </w:rPr>
        <w:t>The hardware kernel achieved 2.487 GOP/s and 3.795 GOP/s on the two benchmarked shapes respectively, against 0.036 and 0.039 GOP/s on the CPU — measured speedups of 70.02× and 97.73× for the identical operation. At the 3.795 GOP/s peak (192×320, MLP-shaped kernel), against the post-route signoff power figures of Table I (1.687 W total on-chip, 1.538 W dynamic), the design achieves a total energy efficiency of 2.25 GOPS/W and a dynamic energy efficiency of 2.47 GOPS/W. These efficiency figures combine a live</w:t>
      </w:r>
      <w:r>
        <w:rPr>
          <w:rFonts w:eastAsia="Times New Roman"/>
        </w:rPr>
        <w:t>-measured kernel throughput with Vivado's post-route, activity-based power estimate for the full SoC design — not a physically instrumented power reading synchronized to the benchmark run itself — and should be read as a signoff-grade estimate accordingly. Figs. 1–3 present latency, throughput, and speedup for both shapes.</w:t>
      </w:r>
    </w:p>
    <w:p w14:paraId="0C5B731B" w14:textId="77777777" w:rsidR="00F05521" w:rsidRDefault="00A82D9E">
      <w:pPr>
        <w:spacing w:before="120"/>
        <w:jc w:val="center"/>
      </w:pPr>
      <w:r>
        <w:rPr>
          <w:noProof/>
        </w:rPr>
        <w:drawing>
          <wp:inline distT="0" distB="0" distL="0" distR="0" wp14:anchorId="1CD8F069" wp14:editId="498B9DE6">
            <wp:extent cx="3108960" cy="1986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8"/>
                    <a:stretch>
                      <a:fillRect/>
                    </a:stretch>
                  </pic:blipFill>
                  <pic:spPr>
                    <a:xfrm>
                      <a:off x="0" y="0"/>
                      <a:ext cx="3108960" cy="1986280"/>
                    </a:xfrm>
                    <a:prstGeom prst="rect">
                      <a:avLst/>
                    </a:prstGeom>
                  </pic:spPr>
                </pic:pic>
              </a:graphicData>
            </a:graphic>
          </wp:inline>
        </w:drawing>
      </w:r>
    </w:p>
    <w:p w14:paraId="2B5B8DA1" w14:textId="77777777" w:rsidR="00F05521" w:rsidRDefault="00A82D9E">
      <w:pPr>
        <w:jc w:val="center"/>
      </w:pPr>
      <w:r>
        <w:rPr>
          <w:rFonts w:eastAsia="Times New Roman"/>
          <w:i/>
          <w:sz w:val="18"/>
        </w:rPr>
        <w:t>Fig. 1. Latency, CPU vs. hardware, both benchmarked shapes.</w:t>
      </w:r>
    </w:p>
    <w:p w14:paraId="72552384" w14:textId="77777777" w:rsidR="00F05521" w:rsidRDefault="00A82D9E">
      <w:pPr>
        <w:spacing w:before="120"/>
        <w:jc w:val="center"/>
      </w:pPr>
      <w:r>
        <w:rPr>
          <w:noProof/>
        </w:rPr>
        <w:drawing>
          <wp:inline distT="0" distB="0" distL="0" distR="0" wp14:anchorId="0C354B69" wp14:editId="739AC03A">
            <wp:extent cx="3108960" cy="1986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omparison.png"/>
                    <pic:cNvPicPr/>
                  </pic:nvPicPr>
                  <pic:blipFill>
                    <a:blip r:embed="rId9"/>
                    <a:stretch>
                      <a:fillRect/>
                    </a:stretch>
                  </pic:blipFill>
                  <pic:spPr>
                    <a:xfrm>
                      <a:off x="0" y="0"/>
                      <a:ext cx="3108960" cy="1986280"/>
                    </a:xfrm>
                    <a:prstGeom prst="rect">
                      <a:avLst/>
                    </a:prstGeom>
                  </pic:spPr>
                </pic:pic>
              </a:graphicData>
            </a:graphic>
          </wp:inline>
        </w:drawing>
      </w:r>
    </w:p>
    <w:p w14:paraId="47406A7A" w14:textId="77777777" w:rsidR="00F05521" w:rsidRDefault="00A82D9E">
      <w:pPr>
        <w:jc w:val="center"/>
      </w:pPr>
      <w:r>
        <w:rPr>
          <w:rFonts w:eastAsia="Times New Roman"/>
          <w:i/>
          <w:sz w:val="18"/>
        </w:rPr>
        <w:t>Fig. 2. Throughput (GOP/s), CPU vs. hardware, both shapes.</w:t>
      </w:r>
    </w:p>
    <w:p w14:paraId="0D4196FA" w14:textId="77777777" w:rsidR="00F05521" w:rsidRDefault="00A82D9E">
      <w:pPr>
        <w:spacing w:before="120"/>
        <w:jc w:val="center"/>
      </w:pPr>
      <w:r>
        <w:rPr>
          <w:noProof/>
        </w:rPr>
        <w:lastRenderedPageBreak/>
        <w:drawing>
          <wp:inline distT="0" distB="0" distL="0" distR="0" wp14:anchorId="12CD5D0C" wp14:editId="6B773F18">
            <wp:extent cx="3108960" cy="1986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_factor.png"/>
                    <pic:cNvPicPr/>
                  </pic:nvPicPr>
                  <pic:blipFill>
                    <a:blip r:embed="rId10"/>
                    <a:stretch>
                      <a:fillRect/>
                    </a:stretch>
                  </pic:blipFill>
                  <pic:spPr>
                    <a:xfrm>
                      <a:off x="0" y="0"/>
                      <a:ext cx="3108960" cy="1986280"/>
                    </a:xfrm>
                    <a:prstGeom prst="rect">
                      <a:avLst/>
                    </a:prstGeom>
                  </pic:spPr>
                </pic:pic>
              </a:graphicData>
            </a:graphic>
          </wp:inline>
        </w:drawing>
      </w:r>
    </w:p>
    <w:p w14:paraId="2849A154" w14:textId="77777777" w:rsidR="00F05521" w:rsidRDefault="00A82D9E">
      <w:pPr>
        <w:jc w:val="center"/>
      </w:pPr>
      <w:r>
        <w:rPr>
          <w:rFonts w:eastAsia="Times New Roman"/>
          <w:i/>
          <w:sz w:val="18"/>
        </w:rPr>
        <w:t>Fig. 3. Measured hardware kernel speedup over CPU.</w:t>
      </w:r>
    </w:p>
    <w:p w14:paraId="2BBEE94F" w14:textId="77777777" w:rsidR="00F05521" w:rsidRDefault="00A82D9E">
      <w:pPr>
        <w:spacing w:before="120" w:after="40"/>
        <w:jc w:val="center"/>
      </w:pPr>
      <w:r>
        <w:rPr>
          <w:rFonts w:eastAsia="Times New Roman"/>
          <w:sz w:val="18"/>
        </w:rPr>
        <w:t>TABLE II. KERNEL BENCHMARK RESULTS, PYNQ-Z2 vs. ARM CORTEX-A9</w:t>
      </w:r>
    </w:p>
    <w:tbl>
      <w:tblPr>
        <w:tblStyle w:val="-11"/>
        <w:tblW w:w="0" w:type="auto"/>
        <w:tblLook w:val="04A0" w:firstRow="1" w:lastRow="0" w:firstColumn="1" w:lastColumn="0" w:noHBand="0" w:noVBand="1"/>
      </w:tblPr>
      <w:tblGrid>
        <w:gridCol w:w="1462"/>
        <w:gridCol w:w="1256"/>
        <w:gridCol w:w="1256"/>
        <w:gridCol w:w="1332"/>
      </w:tblGrid>
      <w:tr w:rsidR="00F05521" w14:paraId="3CB4694E" w14:textId="77777777" w:rsidTr="00F05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560954B7" w14:textId="77777777" w:rsidR="00F05521" w:rsidRDefault="00A82D9E">
            <w:r>
              <w:rPr>
                <w:rFonts w:eastAsia="Times New Roman"/>
                <w:sz w:val="17"/>
              </w:rPr>
              <w:t>Shape</w:t>
            </w:r>
          </w:p>
        </w:tc>
        <w:tc>
          <w:tcPr>
            <w:tcW w:w="2635" w:type="dxa"/>
          </w:tcPr>
          <w:p w14:paraId="3F03C23A" w14:textId="77777777" w:rsidR="00F05521" w:rsidRDefault="00A82D9E">
            <w:pPr>
              <w:cnfStyle w:val="100000000000" w:firstRow="1" w:lastRow="0" w:firstColumn="0" w:lastColumn="0" w:oddVBand="0" w:evenVBand="0" w:oddHBand="0" w:evenHBand="0" w:firstRowFirstColumn="0" w:firstRowLastColumn="0" w:lastRowFirstColumn="0" w:lastRowLastColumn="0"/>
            </w:pPr>
            <w:r>
              <w:rPr>
                <w:rFonts w:eastAsia="Times New Roman"/>
                <w:sz w:val="17"/>
              </w:rPr>
              <w:t>HW latency</w:t>
            </w:r>
          </w:p>
        </w:tc>
        <w:tc>
          <w:tcPr>
            <w:tcW w:w="2635" w:type="dxa"/>
          </w:tcPr>
          <w:p w14:paraId="0E3F0B6E" w14:textId="77777777" w:rsidR="00F05521" w:rsidRDefault="00A82D9E">
            <w:pPr>
              <w:cnfStyle w:val="100000000000" w:firstRow="1" w:lastRow="0" w:firstColumn="0" w:lastColumn="0" w:oddVBand="0" w:evenVBand="0" w:oddHBand="0" w:evenHBand="0" w:firstRowFirstColumn="0" w:firstRowLastColumn="0" w:lastRowFirstColumn="0" w:lastRowLastColumn="0"/>
            </w:pPr>
            <w:r>
              <w:rPr>
                <w:rFonts w:eastAsia="Times New Roman"/>
                <w:sz w:val="17"/>
              </w:rPr>
              <w:t>CPU latency</w:t>
            </w:r>
          </w:p>
        </w:tc>
        <w:tc>
          <w:tcPr>
            <w:tcW w:w="2635" w:type="dxa"/>
          </w:tcPr>
          <w:p w14:paraId="23A64511" w14:textId="77777777" w:rsidR="00F05521" w:rsidRDefault="00A82D9E">
            <w:pPr>
              <w:cnfStyle w:val="100000000000" w:firstRow="1" w:lastRow="0" w:firstColumn="0" w:lastColumn="0" w:oddVBand="0" w:evenVBand="0" w:oddHBand="0" w:evenHBand="0" w:firstRowFirstColumn="0" w:firstRowLastColumn="0" w:lastRowFirstColumn="0" w:lastRowLastColumn="0"/>
            </w:pPr>
            <w:r>
              <w:rPr>
                <w:rFonts w:eastAsia="Times New Roman"/>
                <w:sz w:val="17"/>
              </w:rPr>
              <w:t>Speedup</w:t>
            </w:r>
          </w:p>
        </w:tc>
      </w:tr>
      <w:tr w:rsidR="00F05521" w14:paraId="1C0013C3" w14:textId="77777777" w:rsidTr="00F05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70389DCA" w14:textId="77777777" w:rsidR="00F05521" w:rsidRDefault="00A82D9E">
            <w:r>
              <w:rPr>
                <w:rFonts w:eastAsia="Times New Roman"/>
                <w:b w:val="0"/>
                <w:sz w:val="17"/>
              </w:rPr>
              <w:t>192×192 (projection)</w:t>
            </w:r>
          </w:p>
        </w:tc>
        <w:tc>
          <w:tcPr>
            <w:tcW w:w="2635" w:type="dxa"/>
          </w:tcPr>
          <w:p w14:paraId="470A4106"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5.84 ms</w:t>
            </w:r>
          </w:p>
        </w:tc>
        <w:tc>
          <w:tcPr>
            <w:tcW w:w="2635" w:type="dxa"/>
          </w:tcPr>
          <w:p w14:paraId="6F6D59B8"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408.9 ms</w:t>
            </w:r>
          </w:p>
        </w:tc>
        <w:tc>
          <w:tcPr>
            <w:tcW w:w="2635" w:type="dxa"/>
          </w:tcPr>
          <w:p w14:paraId="5117E02E" w14:textId="77777777" w:rsidR="00F05521" w:rsidRDefault="00A82D9E">
            <w:pPr>
              <w:cnfStyle w:val="000000100000" w:firstRow="0" w:lastRow="0" w:firstColumn="0" w:lastColumn="0" w:oddVBand="0" w:evenVBand="0" w:oddHBand="1" w:evenHBand="0" w:firstRowFirstColumn="0" w:firstRowLastColumn="0" w:lastRowFirstColumn="0" w:lastRowLastColumn="0"/>
            </w:pPr>
            <w:r>
              <w:rPr>
                <w:rFonts w:eastAsia="Times New Roman"/>
                <w:sz w:val="17"/>
              </w:rPr>
              <w:t>70.02×</w:t>
            </w:r>
          </w:p>
        </w:tc>
      </w:tr>
      <w:tr w:rsidR="00F05521" w14:paraId="37382703" w14:textId="77777777" w:rsidTr="00F055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5" w:type="dxa"/>
          </w:tcPr>
          <w:p w14:paraId="4A02EB84" w14:textId="77777777" w:rsidR="00F05521" w:rsidRDefault="00A82D9E">
            <w:r>
              <w:rPr>
                <w:rFonts w:eastAsia="Times New Roman"/>
                <w:b w:val="0"/>
                <w:sz w:val="17"/>
              </w:rPr>
              <w:t>192×320 (MLP-shaped)</w:t>
            </w:r>
          </w:p>
        </w:tc>
        <w:tc>
          <w:tcPr>
            <w:tcW w:w="2635" w:type="dxa"/>
          </w:tcPr>
          <w:p w14:paraId="6D121253"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6.38 ms</w:t>
            </w:r>
          </w:p>
        </w:tc>
        <w:tc>
          <w:tcPr>
            <w:tcW w:w="2635" w:type="dxa"/>
          </w:tcPr>
          <w:p w14:paraId="6955DF27"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623.3 ms</w:t>
            </w:r>
          </w:p>
        </w:tc>
        <w:tc>
          <w:tcPr>
            <w:tcW w:w="2635" w:type="dxa"/>
          </w:tcPr>
          <w:p w14:paraId="1E5ED5AE" w14:textId="77777777" w:rsidR="00F05521" w:rsidRDefault="00A82D9E">
            <w:pPr>
              <w:cnfStyle w:val="000000010000" w:firstRow="0" w:lastRow="0" w:firstColumn="0" w:lastColumn="0" w:oddVBand="0" w:evenVBand="0" w:oddHBand="0" w:evenHBand="1" w:firstRowFirstColumn="0" w:firstRowLastColumn="0" w:lastRowFirstColumn="0" w:lastRowLastColumn="0"/>
            </w:pPr>
            <w:r>
              <w:rPr>
                <w:rFonts w:eastAsia="Times New Roman"/>
                <w:sz w:val="17"/>
              </w:rPr>
              <w:t>97.73×</w:t>
            </w:r>
          </w:p>
        </w:tc>
      </w:tr>
    </w:tbl>
    <w:p w14:paraId="003D7DC7" w14:textId="77777777" w:rsidR="00F05521" w:rsidRDefault="00F05521">
      <w:pPr>
        <w:spacing w:after="160"/>
      </w:pPr>
    </w:p>
    <w:p w14:paraId="520EED0B" w14:textId="77777777" w:rsidR="00F05521" w:rsidRDefault="00A82D9E">
      <w:pPr>
        <w:spacing w:before="160" w:after="80"/>
      </w:pPr>
      <w:r>
        <w:rPr>
          <w:rFonts w:eastAsia="Times New Roman"/>
          <w:b/>
          <w:i/>
        </w:rPr>
        <w:t>C. Physical Silicon Verification</w:t>
      </w:r>
    </w:p>
    <w:p w14:paraId="21A8B037" w14:textId="77777777" w:rsidR="00F05521" w:rsidRDefault="00A82D9E">
      <w:pPr>
        <w:spacing w:after="120"/>
        <w:ind w:firstLine="288"/>
        <w:jc w:val="both"/>
      </w:pPr>
      <w:r>
        <w:rPr>
          <w:rFonts w:eastAsia="Times New Roman"/>
        </w:rPr>
        <w:t>Independent of the kernel benchmark above, the full pipeline was validated at the exact scale exercised in Section III's simulation (200×96×160, an 18,083-cycle simulated end-to-end latency): the physical hardware run reproduced the software golden model with zero of 32,000 output elements outside the established tolerance bound, confirming that behavioral simulation and physical silicon agree at the design's originally verified scale.</w:t>
      </w:r>
    </w:p>
    <w:p w14:paraId="5F7D0173" w14:textId="77777777" w:rsidR="00F05521" w:rsidRDefault="00A82D9E">
      <w:pPr>
        <w:spacing w:before="160" w:after="80"/>
      </w:pPr>
      <w:r>
        <w:rPr>
          <w:rFonts w:eastAsia="Times New Roman"/>
          <w:b/>
          <w:i/>
        </w:rPr>
        <w:t>D. Workload Characterization vs. ViT Networks</w:t>
      </w:r>
    </w:p>
    <w:p w14:paraId="59AD7FF4" w14:textId="77777777" w:rsidR="00F05521" w:rsidRDefault="00A82D9E">
      <w:pPr>
        <w:spacing w:after="120"/>
        <w:ind w:firstLine="288"/>
        <w:jc w:val="both"/>
      </w:pPr>
      <w:r>
        <w:rPr>
          <w:rFonts w:eastAsia="Times New Roman"/>
        </w:rPr>
        <w:t xml:space="preserve">A software-only ViT-Tiny (patch16, 224×224, 5.7M parameters [7], [8]) forward pass, reimplemented from scratch in NumPy and validated against its reference PyTorch implementation to a maximum logit difference of 1.02×10⁻⁵, reproduced an identical top-1 prediction with 87.26% confidence on a sample image — a single-sample confidence score, not a classification accuracy measured over a labeled evaluation set. Critically, the accelerator's fixed matmul→Softmax→GELU pipeline does not structurally correspond to </w:t>
      </w:r>
      <w:r>
        <w:rPr>
          <w:rFonts w:eastAsia="Times New Roman"/>
        </w:rPr>
        <w:t xml:space="preserve">any single ViT-Tiny or ViT-Base operation: multi-head self-attention consists of matrix multiplications and one Softmax with no GELU stage, while the MLP block consists of a matrix multiplication and GELU with no Softmax between them. Substituting the accelerator into either would silently apply an activation or normalization step the real operation does not include, corrupting the result. This architectural mismatch — verified directly against the RTL </w:t>
      </w:r>
      <w:r>
        <w:rPr>
          <w:rFonts w:eastAsia="Times New Roman"/>
        </w:rPr>
        <w:t>rather than assumed — is the reason Section VI.A–B repo</w:t>
      </w:r>
      <w:r>
        <w:rPr>
          <w:rFonts w:eastAsia="Times New Roman"/>
        </w:rPr>
        <w:t>rt a kernel-level throughput benchmark rather than an end-to-end accelerated ViT inference claim.</w:t>
      </w:r>
    </w:p>
    <w:p w14:paraId="7012920C" w14:textId="77777777" w:rsidR="00F05521" w:rsidRDefault="00A82D9E">
      <w:pPr>
        <w:spacing w:before="160" w:after="80"/>
      </w:pPr>
      <w:r>
        <w:rPr>
          <w:rFonts w:eastAsia="Times New Roman"/>
          <w:b/>
          <w:i/>
        </w:rPr>
        <w:t>E. Hardware Bring-Up Observations &amp; Edge Cases</w:t>
      </w:r>
    </w:p>
    <w:p w14:paraId="1379D178" w14:textId="77777777" w:rsidR="00F05521" w:rsidRDefault="00A82D9E">
      <w:pPr>
        <w:spacing w:after="120"/>
        <w:ind w:firstLine="288"/>
        <w:jc w:val="both"/>
      </w:pPr>
      <w:r>
        <w:rPr>
          <w:rFonts w:eastAsia="Times New Roman"/>
        </w:rPr>
        <w:t>Two open hardware findings emerged during bring-up. First, a root-caused defect in the input buffer's row-replay address counter (MM_in_buffer): for a single-row configuration (F_length = 1), the counter advances to 1 immediately on start but its wrap-to-zero condition checks against F_length−1 = 0, a value it can then never reach again, causing the buffer to read stale data indefinitely. Second, a related but distinct DMA hang observed at a two-row configuration was traced far enough to rule out the same c</w:t>
      </w:r>
      <w:r>
        <w:rPr>
          <w:rFonts w:eastAsia="Times New Roman"/>
        </w:rPr>
        <w:t>ause but not far enough to identify its root; both are confined to matrix shapes far smaller than any configuration this design was validated at (Section III.B, VI.C), and the codebase was frozen with both documented as open items (Section VII) rather than resolved in this scope.</w:t>
      </w:r>
    </w:p>
    <w:p w14:paraId="4365ACDB" w14:textId="77777777" w:rsidR="00F05521" w:rsidRDefault="00A82D9E">
      <w:pPr>
        <w:spacing w:before="240" w:after="120"/>
        <w:jc w:val="center"/>
      </w:pPr>
      <w:r>
        <w:rPr>
          <w:rFonts w:eastAsia="Times New Roman"/>
          <w:b/>
          <w:sz w:val="22"/>
        </w:rPr>
        <w:t>VII. ENGINEERING DISCUSSION, BOTTLENECKS &amp; FUTURE WORK</w:t>
      </w:r>
    </w:p>
    <w:p w14:paraId="2EA5133E" w14:textId="77777777" w:rsidR="00F05521" w:rsidRDefault="00A82D9E">
      <w:pPr>
        <w:spacing w:before="160" w:after="80"/>
      </w:pPr>
      <w:r>
        <w:rPr>
          <w:rFonts w:eastAsia="Times New Roman"/>
          <w:b/>
          <w:i/>
        </w:rPr>
        <w:t>A. DMA Buffer Boundary Constraints</w:t>
      </w:r>
    </w:p>
    <w:p w14:paraId="0DE00885" w14:textId="77777777" w:rsidR="00F05521" w:rsidRDefault="00A82D9E">
      <w:pPr>
        <w:spacing w:after="120"/>
        <w:ind w:firstLine="288"/>
        <w:jc w:val="both"/>
      </w:pPr>
      <w:r>
        <w:rPr>
          <w:rFonts w:eastAsia="Times New Roman"/>
        </w:rPr>
        <w:t>The design's three AXI DMA engines were synthesized with a 16-bit transfer-length register, capping any single DMA transfer at 65,536 bytes. This directly prevented benchmarking the real 768-wide ViT-Tiny MLP hidden dimension (a 192×768 weight buffer alone requires 147,456 bytes) and, more broadly, blocks batch processing entirely: streaming even two images' feature matrices against a shared weight matrix already overflows the ceiling for every benchmarked shape in this work. Splitting a transfer across mul</w:t>
      </w:r>
      <w:r>
        <w:rPr>
          <w:rFonts w:eastAsia="Times New Roman"/>
        </w:rPr>
        <w:t>tiple smaller DMA calls is not a safe software workaround with the current RTL, since the input buffer's write-address counters reset on the stream's tlast signal, which the design's direct-register DMA mode asserts at the end of every transfer issued — not only a genuinely final one — corrupting rather than merely truncating a chunked transfer.</w:t>
      </w:r>
    </w:p>
    <w:p w14:paraId="66B3855F" w14:textId="77777777" w:rsidR="00F05521" w:rsidRDefault="00A82D9E">
      <w:pPr>
        <w:spacing w:before="160" w:after="80"/>
      </w:pPr>
      <w:r>
        <w:rPr>
          <w:rFonts w:eastAsia="Times New Roman"/>
          <w:b/>
          <w:i/>
        </w:rPr>
        <w:t>B. Serial Softmax Throughput Bottleneck</w:t>
      </w:r>
    </w:p>
    <w:p w14:paraId="10106A0D" w14:textId="77777777" w:rsidR="00F05521" w:rsidRDefault="00A82D9E">
      <w:pPr>
        <w:spacing w:after="120"/>
        <w:ind w:firstLine="288"/>
        <w:jc w:val="both"/>
      </w:pPr>
      <w:r>
        <w:rPr>
          <w:rFonts w:eastAsia="Times New Roman"/>
        </w:rPr>
        <w:t>The systolic array produces A_size parallel INT8 results per cycle, while the Softmax engine consumes and produces exactly one scalar per cycle across three full passes over each row. This structural mismatch — a fully parallel two-dimensional compute stage feeding a one-dimensional serial normalization stage — is a standing throughput bottleneck independent of clock frequency or DSP utilization, and is the most direct architectural target for a future parallel or pipelined Softmax redesign.</w:t>
      </w:r>
    </w:p>
    <w:p w14:paraId="60C134B6" w14:textId="77777777" w:rsidR="00F05521" w:rsidRDefault="00A82D9E">
      <w:pPr>
        <w:spacing w:before="160" w:after="80"/>
      </w:pPr>
      <w:r>
        <w:rPr>
          <w:rFonts w:eastAsia="Times New Roman"/>
          <w:b/>
          <w:i/>
        </w:rPr>
        <w:lastRenderedPageBreak/>
        <w:t>C. Architectural Roadmap</w:t>
      </w:r>
    </w:p>
    <w:p w14:paraId="6F100899" w14:textId="77777777" w:rsidR="00F05521" w:rsidRDefault="00A82D9E">
      <w:pPr>
        <w:spacing w:after="120"/>
        <w:ind w:firstLine="288"/>
        <w:jc w:val="both"/>
      </w:pPr>
      <w:r>
        <w:rPr>
          <w:rFonts w:eastAsia="Times New Roman"/>
        </w:rPr>
        <w:t>Two concrete next steps follow directly from Sections VII.A–B: (i) replacing direct-register DMA with genuine Scatter-Gather DMA (or, more simply, re-synthesizing with a wider transfer-length register), giving explicit per-descriptor frame-boundary control and removing the single-transfer ceiling that currently blocks both full-width MLP evaluation and batch processing; and (ii) decoupling the matmul, Softmax, and GELU stages into independent streaming nodes with real backpressure support, addressing both t</w:t>
      </w:r>
      <w:r>
        <w:rPr>
          <w:rFonts w:eastAsia="Times New Roman"/>
        </w:rPr>
        <w:t>he serial Softmax bottleneck and a separately documented limitation in the GELU stage's lack of an internal skid buffer.</w:t>
      </w:r>
    </w:p>
    <w:p w14:paraId="5526D7A8" w14:textId="77777777" w:rsidR="00F05521" w:rsidRDefault="00A82D9E">
      <w:pPr>
        <w:spacing w:before="240" w:after="120"/>
        <w:jc w:val="center"/>
      </w:pPr>
      <w:r>
        <w:rPr>
          <w:rFonts w:eastAsia="Times New Roman"/>
          <w:b/>
          <w:sz w:val="22"/>
        </w:rPr>
        <w:t>VIII. CONCLUSION</w:t>
      </w:r>
    </w:p>
    <w:p w14:paraId="4E2C2E75" w14:textId="77777777" w:rsidR="00F05521" w:rsidRDefault="00A82D9E">
      <w:pPr>
        <w:spacing w:after="120"/>
        <w:ind w:firstLine="288"/>
        <w:jc w:val="both"/>
      </w:pPr>
      <w:r>
        <w:rPr>
          <w:rFonts w:eastAsia="Times New Roman"/>
        </w:rPr>
        <w:t>taoFPGA demonstrates a complete hardware/software co-design lifecycle for a quantized transformer processing core, from fixed-point mathematical formulation and tolerance-bounded RTL verification through physical signoff, real hardware bring-up, and a kernel-level benchmark against a genuinely validated software ViT baseline. Beyond the measured results — a 49.3% LUT reduction and 3.1% power reduction from a single synthesis-level fix, zero-error silicon validation at full verified scale, and up to 97.73× k</w:t>
      </w:r>
      <w:r>
        <w:rPr>
          <w:rFonts w:eastAsia="Times New Roman"/>
        </w:rPr>
        <w:t>ernel speedup over an embedded ARM CPU — the project's governing discipline throughout was to verify every layer of the system against its own ground truth rather than inherit correctness from an adjacent layer, and to report every limitation — architectural, numerical, or a hardware transfer ceiling — as precisely as the result being claimed. The 64 KB DMA ceiling and its Scatter-Gather resolution path, together with the serial Softmax bottleneck, define a clear and quantified roadmap for the next iteratio</w:t>
      </w:r>
      <w:r>
        <w:rPr>
          <w:rFonts w:eastAsia="Times New Roman"/>
        </w:rPr>
        <w:t>n of this work.</w:t>
      </w:r>
    </w:p>
    <w:p w14:paraId="0FFF23F6" w14:textId="77777777" w:rsidR="00F05521" w:rsidRDefault="00A82D9E">
      <w:pPr>
        <w:spacing w:before="240" w:after="120"/>
        <w:jc w:val="center"/>
      </w:pPr>
      <w:r>
        <w:rPr>
          <w:rFonts w:eastAsia="Times New Roman"/>
          <w:b/>
          <w:sz w:val="22"/>
        </w:rPr>
        <w:t>REFERENCES</w:t>
      </w:r>
    </w:p>
    <w:p w14:paraId="4A134598" w14:textId="77777777" w:rsidR="00F05521" w:rsidRDefault="00A82D9E">
      <w:pPr>
        <w:spacing w:after="60"/>
      </w:pPr>
      <w:r>
        <w:rPr>
          <w:rFonts w:eastAsia="Times New Roman"/>
          <w:sz w:val="18"/>
        </w:rPr>
        <w:t>[1] A. Vaswani et al., “Attention Is All You Need,” in Proc. NeurIPS, 2017.</w:t>
      </w:r>
    </w:p>
    <w:p w14:paraId="6061BF05" w14:textId="77777777" w:rsidR="00F05521" w:rsidRDefault="00A82D9E">
      <w:pPr>
        <w:spacing w:after="60"/>
      </w:pPr>
      <w:r>
        <w:rPr>
          <w:rFonts w:eastAsia="Times New Roman"/>
          <w:sz w:val="18"/>
        </w:rPr>
        <w:t>[2] Y. Zhu, Q. Li, S. Chen, and Y. Ma, “High-Performance FPGA Acceleration for Transformer-Based Models: A Survey,” IEEE Trans. VLSI Syst., 2023.</w:t>
      </w:r>
    </w:p>
    <w:p w14:paraId="20EA04C0" w14:textId="77777777" w:rsidR="00F05521" w:rsidRDefault="00A82D9E">
      <w:pPr>
        <w:spacing w:after="60"/>
      </w:pPr>
      <w:r>
        <w:rPr>
          <w:rFonts w:eastAsia="Times New Roman"/>
          <w:sz w:val="18"/>
        </w:rPr>
        <w:t>[3] Z. Li, H. Chen, C. Cheng, and X. Huang, “ME-ViT: A Single-Load Memory-Efficient FPGA Accelerator for Vision Transformers,” in Proc. ACM/IEEE ISLPED, 2022.</w:t>
      </w:r>
    </w:p>
    <w:p w14:paraId="4CC4FCBC" w14:textId="77777777" w:rsidR="00F05521" w:rsidRDefault="00A82D9E">
      <w:pPr>
        <w:spacing w:after="60"/>
      </w:pPr>
      <w:r>
        <w:rPr>
          <w:rFonts w:eastAsia="Times New Roman"/>
          <w:sz w:val="18"/>
        </w:rPr>
        <w:t>[4] H. Liu and J. Sun, “FTRANS: Energy-Efficient Acceleration of Transformers using FPGA,” in Proc. ACM/SIGDA FPGA Symp., 2021.</w:t>
      </w:r>
    </w:p>
    <w:p w14:paraId="3C20A0F9" w14:textId="77777777" w:rsidR="00F05521" w:rsidRDefault="00A82D9E">
      <w:pPr>
        <w:spacing w:after="60"/>
      </w:pPr>
      <w:r>
        <w:rPr>
          <w:rFonts w:eastAsia="Times New Roman"/>
          <w:sz w:val="18"/>
        </w:rPr>
        <w:t>[5] Y. Cai, A. Zhang, and X. Chen, “A High-Throughput and Energy-Efficient FPGA-Based Transformer Accelerator,” in Proc. IEEE IPDPS, 2020.</w:t>
      </w:r>
    </w:p>
    <w:p w14:paraId="4ACC40C8" w14:textId="77777777" w:rsidR="00F05521" w:rsidRDefault="00A82D9E">
      <w:pPr>
        <w:spacing w:after="60"/>
      </w:pPr>
      <w:r>
        <w:rPr>
          <w:rFonts w:eastAsia="Times New Roman"/>
          <w:sz w:val="18"/>
        </w:rPr>
        <w:t>[6] AMD/Xilinx, “Vivado Design Suite User Guide: Synthesis (UG901),” AMD, San Jose, CA, USA.</w:t>
      </w:r>
    </w:p>
    <w:p w14:paraId="18DE07B5" w14:textId="77777777" w:rsidR="00F05521" w:rsidRDefault="00A82D9E">
      <w:pPr>
        <w:spacing w:after="60"/>
      </w:pPr>
      <w:r>
        <w:rPr>
          <w:rFonts w:eastAsia="Times New Roman"/>
          <w:sz w:val="18"/>
        </w:rPr>
        <w:t>[7] A. Dosovitskiy et al., “An Image is Worth 16x16 Words: Transformers for Image Recognition at Scale,” in Proc. ICLR, 2021.</w:t>
      </w:r>
    </w:p>
    <w:p w14:paraId="18DA766F" w14:textId="77777777" w:rsidR="00F05521" w:rsidRDefault="00A82D9E">
      <w:pPr>
        <w:spacing w:after="60"/>
      </w:pPr>
      <w:r>
        <w:rPr>
          <w:rFonts w:eastAsia="Times New Roman"/>
          <w:sz w:val="18"/>
        </w:rPr>
        <w:t>[8] R. Wightman, “PyTorch Image Models (timm),” GitHub repository, 2019. [Online]. Available: https://github.com/huggingface/pytorch-image-models</w:t>
      </w:r>
    </w:p>
    <w:sectPr w:rsidR="00F05521" w:rsidSect="00034616">
      <w:type w:val="continuous"/>
      <w:pgSz w:w="12240" w:h="15840"/>
      <w:pgMar w:top="1077" w:right="850" w:bottom="1417" w:left="85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1341280">
    <w:abstractNumId w:val="8"/>
  </w:num>
  <w:num w:numId="2" w16cid:durableId="360980099">
    <w:abstractNumId w:val="6"/>
  </w:num>
  <w:num w:numId="3" w16cid:durableId="1582790236">
    <w:abstractNumId w:val="5"/>
  </w:num>
  <w:num w:numId="4" w16cid:durableId="1767773061">
    <w:abstractNumId w:val="4"/>
  </w:num>
  <w:num w:numId="5" w16cid:durableId="35011272">
    <w:abstractNumId w:val="7"/>
  </w:num>
  <w:num w:numId="6" w16cid:durableId="1778864907">
    <w:abstractNumId w:val="3"/>
  </w:num>
  <w:num w:numId="7" w16cid:durableId="754475710">
    <w:abstractNumId w:val="2"/>
  </w:num>
  <w:num w:numId="8" w16cid:durableId="2095935596">
    <w:abstractNumId w:val="1"/>
  </w:num>
  <w:num w:numId="9" w16cid:durableId="80046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F0F"/>
    <w:rsid w:val="00A82D9E"/>
    <w:rsid w:val="00AA1D8D"/>
    <w:rsid w:val="00B47730"/>
    <w:rsid w:val="00C80DD8"/>
    <w:rsid w:val="00CB0664"/>
    <w:rsid w:val="00F055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4B7110"/>
  <w14:defaultImageDpi w14:val="300"/>
  <w15:docId w15:val="{CB31763E-CBF7-4043-ABF7-9C2043BC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3616</Words>
  <Characters>22064</Characters>
  <Application>Microsoft Office Word</Application>
  <DocSecurity>0</DocSecurity>
  <Lines>525</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Eliran Turgeman</cp:lastModifiedBy>
  <cp:revision>2</cp:revision>
  <cp:lastPrinted>2026-08-26T21:16:00Z</cp:lastPrinted>
  <dcterms:created xsi:type="dcterms:W3CDTF">2013-12-23T23:15:00Z</dcterms:created>
  <dcterms:modified xsi:type="dcterms:W3CDTF">2026-08-26T21:16:00Z</dcterms:modified>
  <cp:category/>
</cp:coreProperties>
</file>