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Times New Roman"/>
          <w:b/>
          <w:i w:val="0"/>
          <w:sz w:val="36"/>
        </w:rPr>
        <w:t>taoFPGA: Architecture, Implementation, and Evaluation of a Quantized Transformer Processing Core on Edge FPGA</w:t>
      </w:r>
    </w:p>
    <w:p>
      <w:pPr>
        <w:spacing w:after="40"/>
        <w:jc w:val="center"/>
      </w:pPr>
      <w:r>
        <w:rPr>
          <w:rFonts w:ascii="Times New Roman" w:hAnsi="Times New Roman" w:eastAsia="Times New Roman"/>
          <w:b w:val="0"/>
          <w:i w:val="0"/>
          <w:sz w:val="24"/>
        </w:rPr>
        <w:t>Eliran Turgeman, Shay Rask</w:t>
      </w:r>
    </w:p>
    <w:p>
      <w:pPr>
        <w:spacing w:after="280"/>
        <w:jc w:val="center"/>
      </w:pPr>
      <w:r>
        <w:rPr>
          <w:rFonts w:ascii="Times New Roman" w:hAnsi="Times New Roman" w:eastAsia="Times New Roman"/>
          <w:b w:val="0"/>
          <w:i/>
          <w:sz w:val="20"/>
        </w:rPr>
        <w:t>Faculty of Engineering, Bar-Ilan University</w:t>
        <w:br/>
      </w:r>
      <w:r>
        <w:rPr>
          <w:rFonts w:ascii="Times New Roman" w:hAnsi="Times New Roman" w:eastAsia="Times New Roman"/>
          <w:b w:val="0"/>
          <w:i/>
          <w:sz w:val="20"/>
        </w:rPr>
        <w:t>Academic Supervisor: Dr. Leonid Yavits | Project Mentor: David Freud</w:t>
      </w:r>
    </w:p>
    <w:p>
      <w:pPr>
        <w:spacing w:after="80"/>
      </w:pPr>
      <w:r>
        <w:rPr>
          <w:rFonts w:ascii="Times New Roman" w:hAnsi="Times New Roman" w:eastAsia="Times New Roman"/>
          <w:b/>
          <w:i/>
          <w:sz w:val="20"/>
        </w:rPr>
        <w:t>Abstract—</w:t>
      </w:r>
      <w:r>
        <w:rPr>
          <w:rFonts w:ascii="Times New Roman" w:hAnsi="Times New Roman" w:eastAsia="Times New Roman"/>
          <w:b w:val="0"/>
          <w:i w:val="0"/>
          <w:sz w:val="20"/>
        </w:rPr>
        <w:t>Transformer models are increasingly deployed on power- and resource-constrained edge devices, where their quadratic attention cost and large dense matrix multiplications strain both compute and memory bandwidth. This paper presents taoFPGA, a quantized INT8 transformer processing core built around a 16×16 weight-stationary systolic array fused with dedicated fixed-point Softmax and GELU engines, verified end to end from RTL simulation through physical signoff and real hardware bring-up on a Xilinx Zynq-7020 (PYNQ-Z2). We detail a tolerance-bounded verification methodology carried consistently from SystemVerilog testbenches through a Python/NumPy golden model validated against physical silicon, a synthesis-level DSP-inference defect whose correction reduced LUT utilization by 49.3% and total on-chip power by 3.1%, and a full-scale hardware validation run matching simulation to zero error across 32,000 output elements. We further report a kernel-level benchmark against a real, numerically validated ViT-Tiny software baseline, achieving up to 97.73× measured speedup (70.02× and 97.73× across the two benchmarked kernel shapes) over the board's ARM Cortex-A9, corresponding to a total energy efficiency of 2.25 GOPS/W (2.47 GOPS/W on dynamic power alone) at peak throughput — while explicitly analyzing why the accelerator's fixed pipeline does not structurally correspond to any single Vision Transformer operation, a distinction we treat as a methodological contribution in its own right. We close with a quantified account of the design's remaining hardware constraints, principally a 64 KB single-transfer DMA ceiling, and the Scatter-Gather DMA redesign identified as its prerequisite fix.</w:t>
      </w:r>
    </w:p>
    <w:p>
      <w:pPr>
        <w:spacing w:after="200"/>
      </w:pPr>
      <w:r>
        <w:rPr>
          <w:rFonts w:ascii="Times New Roman" w:hAnsi="Times New Roman" w:eastAsia="Times New Roman"/>
          <w:b/>
          <w:i/>
          <w:sz w:val="20"/>
        </w:rPr>
        <w:t>Index Terms—</w:t>
      </w:r>
      <w:r>
        <w:rPr>
          <w:rFonts w:ascii="Times New Roman" w:hAnsi="Times New Roman" w:eastAsia="Times New Roman"/>
          <w:b w:val="0"/>
          <w:i w:val="0"/>
          <w:sz w:val="20"/>
        </w:rPr>
        <w:t>FPGA, transformer accelerator, systolic array, vision transformer, quantization, Softmax, GELU, Zynq, PYNQ, hardware/software co-design.</w:t>
      </w:r>
    </w:p>
    <w:p>
      <w:pPr>
        <w:sectPr>
          <w:pgSz w:w="12240" w:h="15840"/>
          <w:pgMar w:top="1077" w:right="850" w:bottom="1417" w:left="850" w:header="720" w:footer="720" w:gutter="0"/>
          <w:cols w:space="720"/>
          <w:docGrid w:linePitch="360"/>
        </w:sectPr>
      </w:pPr>
    </w:p>
    <w:p>
      <w:pPr>
        <w:spacing w:before="240" w:after="120"/>
        <w:jc w:val="center"/>
      </w:pPr>
      <w:r>
        <w:rPr>
          <w:rFonts w:ascii="Times New Roman" w:hAnsi="Times New Roman" w:eastAsia="Times New Roman"/>
          <w:b/>
          <w:i w:val="0"/>
          <w:sz w:val="22"/>
        </w:rPr>
        <w:t>PRELIMINARIES</w:t>
      </w:r>
    </w:p>
    <w:p>
      <w:pPr>
        <w:spacing w:before="0" w:after="120"/>
        <w:ind w:firstLine="288"/>
        <w:jc w:val="both"/>
      </w:pPr>
      <w:r>
        <w:rPr>
          <w:rFonts w:ascii="Times New Roman" w:hAnsi="Times New Roman" w:eastAsia="Times New Roman"/>
          <w:b w:val="0"/>
          <w:i w:val="0"/>
          <w:sz w:val="20"/>
        </w:rPr>
        <w:t>This section briefly introduces the three concepts the rest of the paper builds on, for a reader not already familiar with them.</w:t>
      </w:r>
    </w:p>
    <w:p>
      <w:pPr>
        <w:spacing w:before="160" w:after="80"/>
      </w:pPr>
      <w:r>
        <w:rPr>
          <w:rFonts w:ascii="Times New Roman" w:hAnsi="Times New Roman" w:eastAsia="Times New Roman"/>
          <w:b/>
          <w:i/>
          <w:sz w:val="20"/>
        </w:rPr>
        <w:t>A. Transformer Self-Attention</w:t>
      </w:r>
    </w:p>
    <w:p>
      <w:pPr>
        <w:spacing w:before="0" w:after="120"/>
        <w:ind w:firstLine="288"/>
        <w:jc w:val="both"/>
      </w:pPr>
      <w:r>
        <w:rPr>
          <w:rFonts w:ascii="Times New Roman" w:hAnsi="Times New Roman" w:eastAsia="Times New Roman"/>
          <w:b w:val="0"/>
          <w:i w:val="0"/>
          <w:sz w:val="20"/>
        </w:rPr>
        <w:t>A Transformer block processes a sequence of N token embeddings by letting every token attend to every other token [1]. Each token's embedding is linearly projected into a query (Q), key (K), and value (V) vector; attention weights are the scaled dot product of each query against every key, normalized with Softmax into a probability distribution over the sequence, and the output for each token is the value vectors weighted by that distribution. Because every token attends to every other token, this costs O(N²) multiply-accumulate operations in the sequence length — the quadratic self-attention cost referenced throughout this paper. A position-wise feed-forward network — two dense layers with a GELU nonlinearity — is then applied independently to each token. Vision Transformers (ViT) apply this identical mechanism to a sequence of flattened image patches rather than word tokens [7]. taoFPGA implements the two computationally dominant primitives in this pipeline — the dense matrix multiplications and their associated Softmax/GELU nonlinearities — as dedicated fixed-point hardware, fused into one streaming pipeline (Section II).</w:t>
      </w:r>
    </w:p>
    <w:p>
      <w:pPr>
        <w:spacing w:before="160" w:after="80"/>
      </w:pPr>
      <w:r>
        <w:rPr>
          <w:rFonts w:ascii="Times New Roman" w:hAnsi="Times New Roman" w:eastAsia="Times New Roman"/>
          <w:b/>
          <w:i/>
          <w:sz w:val="20"/>
        </w:rPr>
        <w:t>B. Fixed-Point (INT8) Quantization</w:t>
      </w:r>
    </w:p>
    <w:p>
      <w:pPr>
        <w:spacing w:before="0" w:after="120"/>
        <w:ind w:firstLine="288"/>
        <w:jc w:val="both"/>
      </w:pPr>
      <w:r>
        <w:rPr>
          <w:rFonts w:ascii="Times New Roman" w:hAnsi="Times New Roman" w:eastAsia="Times New Roman"/>
          <w:b w:val="0"/>
          <w:i w:val="0"/>
          <w:sz w:val="20"/>
        </w:rPr>
        <w:t>Running a Transformer in the 32-bit floating-point format it is normally trained in is prohibitively expensive on an embedded FPGA: every multiply-accumulate costs more logic, and every stored value costs 4× the memory bandwidth of an 8-bit alternative. Quantization instead represents each value as a signed 8-bit integer together with a shared, per-tensor scale factor (a power of two in this design), so a real value x is approximated as round(x/scale). Two INT8 values multiply to a result with roughly double the bit width of the inputs; to keep every tensor in the pipeline at a consistent INT8 width, the accumulated product must be rescaled back down by an appropriately chosen shift and re-clipped to the representable [−128, 127] range — the round-half-up, saturate-to-INT8 operation formalized as Eq. 1 and implemented in right_shifter.v. The central engineering trade-off is choosing each stage's scale/shift so the rescaled result neither saturates (losing dynamic range) nor rounds away the signal (losing precision); Section II.C and Appendix A.3 describe two concrete bugs this project encountered getting that calibration right.</w:t>
      </w:r>
    </w:p>
    <w:p>
      <w:pPr>
        <w:spacing w:before="160" w:after="80"/>
      </w:pPr>
      <w:r>
        <w:rPr>
          <w:rFonts w:ascii="Times New Roman" w:hAnsi="Times New Roman" w:eastAsia="Times New Roman"/>
          <w:b/>
          <w:i/>
          <w:sz w:val="20"/>
        </w:rPr>
        <w:t>C. Systolic Arrays for Matrix Multiplication</w:t>
      </w:r>
    </w:p>
    <w:p>
      <w:pPr>
        <w:spacing w:before="0" w:after="120"/>
        <w:ind w:firstLine="288"/>
        <w:jc w:val="both"/>
      </w:pPr>
      <w:r>
        <w:rPr>
          <w:rFonts w:ascii="Times New Roman" w:hAnsi="Times New Roman" w:eastAsia="Times New Roman"/>
          <w:b w:val="0"/>
          <w:i w:val="0"/>
          <w:sz w:val="20"/>
        </w:rPr>
        <w:t>A systolic array computes matrix multiplication with many small processing elements (PEs) — each capable of one multiply-accumulate per cycle — arranged in a regular 2D grid, streaming operands through the grid in a staggered rhythm so each PE only ever exchanges data with its immediate neighbors, never a global memory or a distant PE. This locality is what makes the design scale: adding more PEs adds compute without adding long, power-hungry wires. taoFPGA uses a weight-stationary variant: each PE loads and holds one weight value for the duration of a matrix multiplication while feature values stream through the array row by row, maximizing reuse of each loaded weight and matching the Transformer's own workload pattern, where the same projection weight matrix is reused across every token in the input sequence. Section II.A and Appendix A.7 describe the specific 16×16 instantiation of this idea and the physical-implementation work needed to map it efficiently onto the FPGA's dedicated DSP48E1 hard multiplier blocks.</w:t>
      </w:r>
    </w:p>
    <w:p>
      <w:pPr>
        <w:spacing w:before="240" w:after="120"/>
        <w:jc w:val="center"/>
      </w:pPr>
      <w:r>
        <w:rPr>
          <w:rFonts w:ascii="Times New Roman" w:hAnsi="Times New Roman" w:eastAsia="Times New Roman"/>
          <w:b/>
          <w:i w:val="0"/>
          <w:sz w:val="22"/>
        </w:rPr>
        <w:t>I. INTRODUCTION &amp; MOTIVATION</w:t>
      </w:r>
    </w:p>
    <w:p>
      <w:pPr>
        <w:spacing w:before="160" w:after="80"/>
      </w:pPr>
      <w:r>
        <w:rPr>
          <w:rFonts w:ascii="Times New Roman" w:hAnsi="Times New Roman" w:eastAsia="Times New Roman"/>
          <w:b/>
          <w:i/>
          <w:sz w:val="20"/>
        </w:rPr>
        <w:t>A. The Edge AI Compute Dilemma</w:t>
      </w:r>
    </w:p>
    <w:p>
      <w:pPr>
        <w:spacing w:before="0" w:after="120"/>
        <w:ind w:firstLine="288"/>
        <w:jc w:val="both"/>
      </w:pPr>
      <w:r>
        <w:rPr>
          <w:rFonts w:ascii="Times New Roman" w:hAnsi="Times New Roman" w:eastAsia="Times New Roman"/>
          <w:b w:val="0"/>
          <w:i w:val="0"/>
          <w:sz w:val="20"/>
        </w:rPr>
        <w:t>Transformer models now dominate both natural-language processing and computer vision, but their computational profile — quadratic self-attention and large dense projections in every encoder layer — sits uneasily on embedded edge platforms, where DRAM bandwidth, on-chip memory, and power budget are all scarce simultaneously [1]. Prior FPGA accelerators for transformer-family models converge on a small set of recurring design choices — systolic or array-of-PE matrix multiplication, fixed-point quantization, and dedicated non-linear activation units — to close this gap [2]–[5]. This project targets that same design space on a resource-constrained, commodity Zynq-7020 SoC.</w:t>
      </w:r>
    </w:p>
    <w:p>
      <w:pPr>
        <w:spacing w:before="160" w:after="80"/>
      </w:pPr>
      <w:r>
        <w:rPr>
          <w:rFonts w:ascii="Times New Roman" w:hAnsi="Times New Roman" w:eastAsia="Times New Roman"/>
          <w:b/>
          <w:i/>
          <w:sz w:val="20"/>
        </w:rPr>
        <w:t>B. Design Intent &amp; Methodology</w:t>
      </w:r>
    </w:p>
    <w:p>
      <w:pPr>
        <w:spacing w:before="0" w:after="120"/>
        <w:ind w:firstLine="288"/>
        <w:jc w:val="both"/>
      </w:pPr>
      <w:r>
        <w:rPr>
          <w:rFonts w:ascii="Times New Roman" w:hAnsi="Times New Roman" w:eastAsia="Times New Roman"/>
          <w:b w:val="0"/>
          <w:i w:val="0"/>
          <w:sz w:val="20"/>
        </w:rPr>
        <w:t>taoFPGA was developed bottom-up: each arithmetic core — the systolic matrix multiplier, the Softmax normalization engine, and the GELU activation unit — was designed and verified in isolation against a real-valued golden reference before being composed into a single streaming pipeline (MatMul → Softmax → GELU), integrated into a complete SoC, physically implemented, and finally evaluated against real Vision Transformer (ViT) workload shapes on physical hardware. A recurring methodological principle, arrived at empirically over the course of the project, governs every phase: no layer of the system — golden model, integration script, board, register map, or DMA transfer — may be assumed correct on the strength of another layer's correctness. Each was checked directly against its own ground truth.</w:t>
      </w:r>
    </w:p>
    <w:p>
      <w:pPr>
        <w:spacing w:before="160" w:after="80"/>
      </w:pPr>
      <w:r>
        <w:rPr>
          <w:rFonts w:ascii="Times New Roman" w:hAnsi="Times New Roman" w:eastAsia="Times New Roman"/>
          <w:b/>
          <w:i/>
          <w:sz w:val="20"/>
        </w:rPr>
        <w:t>C. Key Contributions &amp; Paper Outline</w:t>
      </w:r>
    </w:p>
    <w:p>
      <w:pPr>
        <w:spacing w:after="80"/>
        <w:ind w:left="259" w:hanging="259"/>
      </w:pPr>
      <w:r>
        <w:rPr>
          <w:rFonts w:ascii="Times New Roman" w:hAnsi="Times New Roman" w:eastAsia="Times New Roman"/>
          <w:b/>
          <w:i w:val="0"/>
          <w:sz w:val="20"/>
        </w:rPr>
        <w:t xml:space="preserve">(1) </w:t>
      </w:r>
      <w:r>
        <w:rPr>
          <w:rFonts w:ascii="Times New Roman" w:hAnsi="Times New Roman" w:eastAsia="Times New Roman"/>
          <w:b w:val="0"/>
          <w:i w:val="0"/>
          <w:sz w:val="20"/>
        </w:rPr>
        <w:t>A 16×16 INT8 weight-stationary systolic array fused with dedicated fixed-point Softmax and GELU engines into a single streaming pipeline.</w:t>
      </w:r>
    </w:p>
    <w:p>
      <w:pPr>
        <w:spacing w:after="80"/>
        <w:ind w:left="259" w:hanging="259"/>
      </w:pPr>
      <w:r>
        <w:rPr>
          <w:rFonts w:ascii="Times New Roman" w:hAnsi="Times New Roman" w:eastAsia="Times New Roman"/>
          <w:b/>
          <w:i w:val="0"/>
          <w:sz w:val="20"/>
        </w:rPr>
        <w:t xml:space="preserve">(2) </w:t>
      </w:r>
      <w:r>
        <w:rPr>
          <w:rFonts w:ascii="Times New Roman" w:hAnsi="Times New Roman" w:eastAsia="Times New Roman"/>
          <w:b w:val="0"/>
          <w:i w:val="0"/>
          <w:sz w:val="20"/>
        </w:rPr>
        <w:t>A tolerance-bounded verification methodology carried consistently from SystemVerilog RTL simulation through a Python/NumPy golden model validated against physical silicon.</w:t>
      </w:r>
    </w:p>
    <w:p>
      <w:pPr>
        <w:spacing w:after="80"/>
        <w:ind w:left="259" w:hanging="259"/>
      </w:pPr>
      <w:r>
        <w:rPr>
          <w:rFonts w:ascii="Times New Roman" w:hAnsi="Times New Roman" w:eastAsia="Times New Roman"/>
          <w:b/>
          <w:i w:val="0"/>
          <w:sz w:val="20"/>
        </w:rPr>
        <w:t xml:space="preserve">(3) </w:t>
      </w:r>
      <w:r>
        <w:rPr>
          <w:rFonts w:ascii="Times New Roman" w:hAnsi="Times New Roman" w:eastAsia="Times New Roman"/>
          <w:b w:val="0"/>
          <w:i w:val="0"/>
          <w:sz w:val="20"/>
        </w:rPr>
        <w:t>Identification and correction of a synthesis-level DSP-inference defect, reducing LUT utilization by 49.3% and total on-chip power by 3.1% at signoff.</w:t>
      </w:r>
    </w:p>
    <w:p>
      <w:pPr>
        <w:spacing w:after="80"/>
        <w:ind w:left="259" w:hanging="259"/>
      </w:pPr>
      <w:r>
        <w:rPr>
          <w:rFonts w:ascii="Times New Roman" w:hAnsi="Times New Roman" w:eastAsia="Times New Roman"/>
          <w:b/>
          <w:i w:val="0"/>
          <w:sz w:val="20"/>
        </w:rPr>
        <w:t xml:space="preserve">(4) </w:t>
      </w:r>
      <w:r>
        <w:rPr>
          <w:rFonts w:ascii="Times New Roman" w:hAnsi="Times New Roman" w:eastAsia="Times New Roman"/>
          <w:b w:val="0"/>
          <w:i w:val="0"/>
          <w:sz w:val="20"/>
        </w:rPr>
        <w:t>First physical hardware validation of the design on a PYNQ-Z2, matching simulation to zero error across 32,000 output elements at full scale.</w:t>
      </w:r>
    </w:p>
    <w:p>
      <w:pPr>
        <w:spacing w:after="80"/>
        <w:ind w:left="259" w:hanging="259"/>
      </w:pPr>
      <w:r>
        <w:rPr>
          <w:rFonts w:ascii="Times New Roman" w:hAnsi="Times New Roman" w:eastAsia="Times New Roman"/>
          <w:b/>
          <w:i w:val="0"/>
          <w:sz w:val="20"/>
        </w:rPr>
        <w:t xml:space="preserve">(5) </w:t>
      </w:r>
      <w:r>
        <w:rPr>
          <w:rFonts w:ascii="Times New Roman" w:hAnsi="Times New Roman" w:eastAsia="Times New Roman"/>
          <w:b w:val="0"/>
          <w:i w:val="0"/>
          <w:sz w:val="20"/>
        </w:rPr>
        <w:t>A kernel-level hardware/software benchmark against a real, numerically validated ViT-Tiny baseline, reporting 70.02×-97.73× measured speedup and a total energy efficiency of 2.25 GOPS/W at peak throughput, together with an explicit architectural analysis of why the accelerator's fixed pipeline does not map onto any single ViT operation.</w:t>
      </w:r>
    </w:p>
    <w:p>
      <w:pPr>
        <w:spacing w:after="80"/>
        <w:ind w:left="259" w:hanging="259"/>
      </w:pPr>
      <w:r>
        <w:rPr>
          <w:rFonts w:ascii="Times New Roman" w:hAnsi="Times New Roman" w:eastAsia="Times New Roman"/>
          <w:b/>
          <w:i w:val="0"/>
          <w:sz w:val="20"/>
        </w:rPr>
        <w:t xml:space="preserve">(6) </w:t>
      </w:r>
      <w:r>
        <w:rPr>
          <w:rFonts w:ascii="Times New Roman" w:hAnsi="Times New Roman" w:eastAsia="Times New Roman"/>
          <w:b w:val="0"/>
          <w:i w:val="0"/>
          <w:sz w:val="20"/>
        </w:rPr>
        <w:t>A quantified account of the design's open hardware constraints — principally a 64 KB DMA transfer ceiling — and the re-synthesis path identified to resolve them.</w:t>
      </w:r>
    </w:p>
    <w:p>
      <w:pPr>
        <w:spacing w:before="0" w:after="120"/>
        <w:ind w:firstLine="288"/>
        <w:jc w:val="both"/>
      </w:pPr>
      <w:r>
        <w:rPr>
          <w:rFonts w:ascii="Times New Roman" w:hAnsi="Times New Roman" w:eastAsia="Times New Roman"/>
          <w:b w:val="0"/>
          <w:i w:val="0"/>
          <w:sz w:val="20"/>
        </w:rPr>
        <w:t>The remainder of this paper is organized as follows. Section II details the core hardware architecture and its fixed-point formulation. Section III covers RTL verification. Section IV describes SoC integration on the PYNQ-Z2. Section V reports physical implementation and signoff. Section VI presents experimental evaluation and hardware bring-up. Section VII discusses remaining bottlenecks and future work, and Section VIII concludes.</w:t>
      </w:r>
    </w:p>
    <w:p>
      <w:pPr>
        <w:spacing w:before="240" w:after="120"/>
        <w:jc w:val="center"/>
      </w:pPr>
      <w:r>
        <w:rPr>
          <w:rFonts w:ascii="Times New Roman" w:hAnsi="Times New Roman" w:eastAsia="Times New Roman"/>
          <w:b/>
          <w:i w:val="0"/>
          <w:sz w:val="22"/>
        </w:rPr>
        <w:t>II. CORE HARDWARE ARCHITECTURE &amp; MATHEMATICAL FORMULATION</w:t>
      </w:r>
    </w:p>
    <w:p>
      <w:pPr>
        <w:spacing w:before="160" w:after="80"/>
      </w:pPr>
      <w:r>
        <w:rPr>
          <w:rFonts w:ascii="Times New Roman" w:hAnsi="Times New Roman" w:eastAsia="Times New Roman"/>
          <w:b/>
          <w:i/>
          <w:sz w:val="20"/>
        </w:rPr>
        <w:t>A. Systolic Matrix Multiplication Core</w:t>
      </w:r>
    </w:p>
    <w:p>
      <w:pPr>
        <w:spacing w:before="0" w:after="120"/>
        <w:ind w:firstLine="288"/>
        <w:jc w:val="both"/>
      </w:pPr>
      <w:r>
        <w:rPr>
          <w:rFonts w:ascii="Times New Roman" w:hAnsi="Times New Roman" w:eastAsia="Times New Roman"/>
          <w:b w:val="0"/>
          <w:i w:val="0"/>
          <w:sz w:val="20"/>
        </w:rPr>
        <w:t>The matrix multiplication core (MM_ultra) is a weight-stationary 16×16 systolic array of INT8 processing elements (256 MACs total), fed by dedicated feature and weight input buffers (MM_in_buffer, MM_buffer) that stream operands into the array in A_size-wide parallel beats. Runtime-configurable block-count registers (F_width_block_num, W_width_block_num) parameterize the contraction and output dimensions, both constrained to multiples of the array width. Accumulated products are rounded and saturated to INT8 by a dedicated shifter: the design rounds half-up on an arithmetic right shift — equivalently, add 2^(shift−1) then shift, or inspect the most-significant discarded bit — before clamping to [−128, 127]. Both formulations were confirmed mathematically identical during hardware bring-up (Section VI) when the software golden model was cross-checked line-by-line against this shifter's RTL. Formally, for a pre-shift accumulator value z and a runtime-configurable shift ∈ ℤ⁺, the quantization operator realized in hardware is</w:t>
      </w:r>
    </w:p>
    <w:p>
      <w:pPr>
        <w:spacing w:before="80" w:after="80"/>
        <w:jc w:val="center"/>
      </w:pPr>
      <m:oMathPara>
        <m:oMathParaPr>
          <m:jc m:val="center"/>
        </m:oMathParaPr>
        <m:oMath>
          <m:r>
            <m:rPr>
              <m:sty m:val="p"/>
            </m:rPr>
            <m:t>Quant</m:t>
          </m:r>
          <m:r>
            <m:rPr>
              <m:sty m:val="p"/>
            </m:rPr>
            <m:t>(</m:t>
          </m:r>
          <m:r>
            <m:t>z</m:t>
          </m:r>
          <m:r>
            <m:rPr>
              <m:sty m:val="p"/>
            </m:rPr>
            <m:t>)</m:t>
          </m:r>
          <m:r>
            <m:rPr>
              <m:sty m:val="p"/>
            </m:rPr>
            <m:t>=</m:t>
          </m:r>
          <m:r>
            <m:rPr>
              <m:sty m:val="p"/>
            </m:rPr>
            <m:t>clip</m:t>
          </m:r>
          <m:r>
            <m:t>​</m:t>
          </m:r>
          <m:d>
            <m:dPr>
              <m:begChr m:val="("/>
              <m:sepChr m:val=""/>
              <m:endChr m:val=")"/>
              <m:grow/>
            </m:dPr>
            <m:e>
              <m:d>
                <m:dPr>
                  <m:begChr m:val="⌊"/>
                  <m:sepChr m:val=""/>
                  <m:endChr m:val="⌋"/>
                  <m:grow/>
                </m:dPr>
                <m:e>
                  <m:r>
                    <m:rPr>
                      <m:sty m:val="p"/>
                    </m:rPr>
                    <m:t>(</m:t>
                  </m:r>
                  <m:r>
                    <m:t>z</m:t>
                  </m:r>
                  <m:r>
                    <m:rPr>
                      <m:sty m:val="p"/>
                    </m:rPr>
                    <m:t>+</m:t>
                  </m:r>
                  <m:sSup>
                    <m:e>
                      <m:r>
                        <m:t>2</m:t>
                      </m:r>
                    </m:e>
                    <m:sup>
                      <m:r>
                        <m:t> </m:t>
                      </m:r>
                      <m:r>
                        <m:rPr>
                          <m:sty m:val="p"/>
                        </m:rPr>
                        <m:t>s</m:t>
                      </m:r>
                      <m:r>
                        <m:rPr>
                          <m:sty m:val="p"/>
                        </m:rPr>
                        <m:t>h</m:t>
                      </m:r>
                      <m:r>
                        <m:rPr>
                          <m:sty m:val="p"/>
                        </m:rPr>
                        <m:t>i</m:t>
                      </m:r>
                      <m:r>
                        <m:rPr>
                          <m:sty m:val="p"/>
                        </m:rPr>
                        <m:t>f</m:t>
                      </m:r>
                      <m:r>
                        <m:rPr>
                          <m:sty m:val="p"/>
                        </m:rPr>
                        <m:t>t</m:t>
                      </m:r>
                      <m:r>
                        <m:rPr>
                          <m:sty m:val="p"/>
                        </m:rPr>
                        <m:t>−</m:t>
                      </m:r>
                      <m:r>
                        <m:t>1</m:t>
                      </m:r>
                    </m:sup>
                  </m:sSup>
                  <m:r>
                    <m:rPr>
                      <m:sty m:val="p"/>
                    </m:rPr>
                    <m:t>)</m:t>
                  </m:r>
                  <m:r>
                    <m:rPr>
                      <m:sty m:val="p"/>
                    </m:rPr>
                    <m:t>⋅</m:t>
                  </m:r>
                  <m:sSup>
                    <m:e>
                      <m:r>
                        <m:t>2</m:t>
                      </m:r>
                    </m:e>
                    <m:sup>
                      <m:r>
                        <m:rPr>
                          <m:sty m:val="p"/>
                        </m:rPr>
                        <m:t>−</m:t>
                      </m:r>
                      <m:r>
                        <m:rPr>
                          <m:sty m:val="p"/>
                        </m:rPr>
                        <m:t>s</m:t>
                      </m:r>
                      <m:r>
                        <m:rPr>
                          <m:sty m:val="p"/>
                        </m:rPr>
                        <m:t>h</m:t>
                      </m:r>
                      <m:r>
                        <m:rPr>
                          <m:sty m:val="p"/>
                        </m:rPr>
                        <m:t>i</m:t>
                      </m:r>
                      <m:r>
                        <m:rPr>
                          <m:sty m:val="p"/>
                        </m:rPr>
                        <m:t>f</m:t>
                      </m:r>
                      <m:r>
                        <m:rPr>
                          <m:sty m:val="p"/>
                        </m:rPr>
                        <m:t>t</m:t>
                      </m:r>
                    </m:sup>
                  </m:sSup>
                </m:e>
              </m:d>
              <m:r>
                <m:rPr>
                  <m:sty m:val="p"/>
                </m:rPr>
                <m:t>,</m:t>
              </m:r>
              <m:r>
                <m:t> </m:t>
              </m:r>
              <m:r>
                <m:rPr>
                  <m:sty m:val="p"/>
                </m:rPr>
                <m:t>−</m:t>
              </m:r>
              <m:r>
                <m:t>128</m:t>
              </m:r>
              <m:r>
                <m:rPr>
                  <m:sty m:val="p"/>
                </m:rPr>
                <m:t>,</m:t>
              </m:r>
              <m:r>
                <m:t> </m:t>
              </m:r>
              <m:r>
                <m:t>127</m:t>
              </m:r>
            </m:e>
          </m:d>
        </m:oMath>
      </m:oMathPara>
      <w:r>
        <w:rPr>
          <w:rFonts w:ascii="Times New Roman" w:hAnsi="Times New Roman" w:eastAsia="Times New Roman"/>
          <w:b w:val="0"/>
          <w:i w:val="0"/>
          <w:sz w:val="20"/>
        </w:rPr>
        <w:t xml:space="preserve">    (1)</w:t>
      </w:r>
    </w:p>
    <w:p>
      <w:pPr>
        <w:spacing w:before="0" w:after="120"/>
        <w:ind w:firstLine="288"/>
        <w:jc w:val="both"/>
      </w:pPr>
      <w:r>
        <w:rPr>
          <w:rFonts w:ascii="Times New Roman" w:hAnsi="Times New Roman" w:eastAsia="Times New Roman"/>
          <w:b w:val="0"/>
          <w:i w:val="0"/>
          <w:sz w:val="20"/>
        </w:rPr>
        <w:t>where ⌊·⌋ denotes floor (equivalently, arithmetic right shift for two's-complement operands) and clip(·, lo, hi) saturates its argument to [lo, hi]. The degenerate case shift = 0 is handled as a direct clip of z with no rounding term. Listing 1 excerpts the actual RTL realization of (1) in right_shifter.v, which computes the round term by inspecting the discarded bit directly rather than via an explicit add-then-shift, the two formulations having been confirmed identical as noted above.</w:t>
      </w:r>
    </w:p>
    <w:tbl>
      <w:tblPr>
        <w:tblW w:type="auto" w:w="0"/>
        <w:tblLayout w:type="autofit"/>
        <w:tblLook w:firstColumn="1" w:firstRow="1" w:lastColumn="0" w:lastRow="0" w:noHBand="0" w:noVBand="1" w:val="04A0"/>
      </w:tblPr>
      <w:tblGrid>
        <w:gridCol w:w="10540"/>
      </w:tblGrid>
      <w:tr>
        <w:tc>
          <w:tcPr>
            <w:tcW w:type="dxa" w:w="10540"/>
            <w:shd w:val="clear" w:color="auto" w:fill="F2F2F0"/>
            <w:tcBorders>
              <w:top w:val="nil"/>
              <w:bottom w:val="nil"/>
              <w:right w:val="nil"/>
              <w:left w:val="single" w:sz="12" w:space="0" w:color="2A78D6"/>
            </w:tcBorders>
            <w:tcMar>
              <w:top w:w="80" w:type="dxa"/>
              <w:bottom w:w="80" w:type="dxa"/>
              <w:left w:w="100" w:type="dxa"/>
              <w:right w:w="100" w:type="dxa"/>
            </w:tcMar>
          </w:tcPr>
          <w:p>
            <w:pPr>
              <w:spacing w:after="0" w:before="0"/>
            </w:pPr>
            <w:r>
              <w:rPr>
                <w:rFonts w:ascii="Consolas" w:hAnsi="Consolas" w:eastAsia="Consolas"/>
                <w:sz w:val="17"/>
              </w:rPr>
              <w:t>// right_shifter.v -- round-half-up + saturate to INT8</w:t>
            </w:r>
          </w:p>
          <w:p>
            <w:pPr>
              <w:spacing w:after="0" w:before="0"/>
            </w:pPr>
            <w:r>
              <w:rPr>
                <w:rFonts w:ascii="Consolas" w:hAnsi="Consolas" w:eastAsia="Consolas"/>
                <w:sz w:val="17"/>
              </w:rPr>
              <w:t>assign temp1_out = data_in &gt;&gt;&gt; shift;</w:t>
            </w:r>
          </w:p>
          <w:p>
            <w:pPr>
              <w:spacing w:after="0" w:before="0"/>
            </w:pPr>
            <w:r>
              <w:rPr>
                <w:rFonts w:ascii="Consolas" w:hAnsi="Consolas" w:eastAsia="Consolas"/>
                <w:sz w:val="17"/>
              </w:rPr>
              <w:t>assign temp2_out =</w:t>
            </w:r>
          </w:p>
          <w:p>
            <w:pPr>
              <w:spacing w:after="0" w:before="0"/>
            </w:pPr>
            <w:r>
              <w:rPr>
                <w:rFonts w:ascii="Consolas" w:hAnsi="Consolas" w:eastAsia="Consolas"/>
                <w:sz w:val="17"/>
              </w:rPr>
              <w:t xml:space="preserve">    data_in[shift-1] ? temp1_out + 1 : temp1_out;</w:t>
            </w:r>
          </w:p>
          <w:p>
            <w:pPr>
              <w:spacing w:after="0" w:before="0"/>
            </w:pPr>
            <w:r>
              <w:rPr>
                <w:rFonts w:ascii="Consolas" w:hAnsi="Consolas" w:eastAsia="Consolas"/>
                <w:sz w:val="17"/>
              </w:rPr>
              <w:t>// under_min/over_max: range checks on temp2_out</w:t>
            </w:r>
          </w:p>
          <w:p>
            <w:pPr>
              <w:spacing w:after="0" w:before="0"/>
            </w:pPr>
            <w:r>
              <w:rPr>
                <w:rFonts w:ascii="Consolas" w:hAnsi="Consolas" w:eastAsia="Consolas"/>
                <w:sz w:val="17"/>
              </w:rPr>
              <w:t>case ({under_min, over_max})</w:t>
            </w:r>
          </w:p>
          <w:p>
            <w:pPr>
              <w:spacing w:after="0" w:before="0"/>
            </w:pPr>
            <w:r>
              <w:rPr>
                <w:rFonts w:ascii="Consolas" w:hAnsi="Consolas" w:eastAsia="Consolas"/>
                <w:sz w:val="17"/>
              </w:rPr>
              <w:t xml:space="preserve">    2'b10: data_out = {1'b1, {(W-1){1'b0}}}; // -128</w:t>
            </w:r>
          </w:p>
          <w:p>
            <w:pPr>
              <w:spacing w:after="0" w:before="0"/>
            </w:pPr>
            <w:r>
              <w:rPr>
                <w:rFonts w:ascii="Consolas" w:hAnsi="Consolas" w:eastAsia="Consolas"/>
                <w:sz w:val="17"/>
              </w:rPr>
              <w:t xml:space="preserve">    2'b01: data_out = {1'b0, {(W-1){1'b1}}}; // +127</w:t>
            </w:r>
          </w:p>
          <w:p>
            <w:pPr>
              <w:spacing w:after="0" w:before="0"/>
            </w:pPr>
            <w:r>
              <w:rPr>
                <w:rFonts w:ascii="Consolas" w:hAnsi="Consolas" w:eastAsia="Consolas"/>
                <w:sz w:val="17"/>
              </w:rPr>
              <w:t xml:space="preserve">    default: data_out = temp2_out[W-1:0];</w:t>
            </w:r>
          </w:p>
          <w:p>
            <w:pPr>
              <w:spacing w:after="0" w:before="0"/>
            </w:pPr>
            <w:r>
              <w:rPr>
                <w:rFonts w:ascii="Consolas" w:hAnsi="Consolas" w:eastAsia="Consolas"/>
                <w:sz w:val="17"/>
              </w:rPr>
              <w:t>endcase</w:t>
            </w:r>
          </w:p>
        </w:tc>
      </w:tr>
    </w:tbl>
    <w:p>
      <w:pPr>
        <w:spacing w:before="60" w:after="160"/>
        <w:jc w:val="center"/>
      </w:pPr>
      <w:r>
        <w:rPr>
          <w:rFonts w:ascii="Times New Roman" w:hAnsi="Times New Roman" w:eastAsia="Times New Roman"/>
          <w:b/>
          <w:i w:val="0"/>
          <w:sz w:val="18"/>
        </w:rPr>
        <w:t xml:space="preserve">Listing 1. </w:t>
      </w:r>
      <w:r>
        <w:rPr>
          <w:rFonts w:ascii="Times New Roman" w:hAnsi="Times New Roman" w:eastAsia="Times New Roman"/>
          <w:b w:val="0"/>
          <w:i w:val="0"/>
          <w:sz w:val="18"/>
        </w:rPr>
        <w:t>Round-half-up and saturate operator, right_shifter.v (Eq. 1).</w:t>
      </w:r>
    </w:p>
    <w:p>
      <w:pPr>
        <w:spacing w:before="0" w:after="120"/>
        <w:ind w:firstLine="288"/>
        <w:jc w:val="both"/>
      </w:pPr>
      <w:r>
        <w:rPr>
          <w:rFonts w:ascii="Times New Roman" w:hAnsi="Times New Roman" w:eastAsia="Times New Roman"/>
          <w:b w:val="0"/>
          <w:i w:val="0"/>
          <w:sz w:val="20"/>
        </w:rPr>
        <w:t>Fig. 1 details one PE's internal datapath (PE.v): the stationary weight register reg_w is loaded once via set_w and held for the duration of a matrix multiplication, while x_in streams through a registered pass-through (x_out) to the next PE to the east and simultaneously feeds the multiplier; the multiplier's product accumulates with psum_in from the PE to the north into a 20-bit signed register (2·data_width + log₂(array_m) for this 16-row array) that is the exact register Appendix A.7's DSP-inference fix targets, and is forwarded south as psum_out.</w:t>
      </w:r>
    </w:p>
    <w:p>
      <w:pPr>
        <w:spacing w:before="120"/>
        <w:jc w:val="center"/>
      </w:pPr>
      <w:r>
        <w:drawing>
          <wp:inline xmlns:a="http://schemas.openxmlformats.org/drawingml/2006/main" xmlns:pic="http://schemas.openxmlformats.org/drawingml/2006/picture">
            <wp:extent cx="3017520" cy="2541069"/>
            <wp:docPr id="1" name="Picture 1"/>
            <wp:cNvGraphicFramePr>
              <a:graphicFrameLocks noChangeAspect="1"/>
            </wp:cNvGraphicFramePr>
            <a:graphic>
              <a:graphicData uri="http://schemas.openxmlformats.org/drawingml/2006/picture">
                <pic:pic>
                  <pic:nvPicPr>
                    <pic:cNvPr id="0" name="fig_pe_microarch.png"/>
                    <pic:cNvPicPr/>
                  </pic:nvPicPr>
                  <pic:blipFill>
                    <a:blip r:embed="rId9"/>
                    <a:stretch>
                      <a:fillRect/>
                    </a:stretch>
                  </pic:blipFill>
                  <pic:spPr>
                    <a:xfrm>
                      <a:off x="0" y="0"/>
                      <a:ext cx="3017520" cy="2541069"/>
                    </a:xfrm>
                    <a:prstGeom prst="rect"/>
                  </pic:spPr>
                </pic:pic>
              </a:graphicData>
            </a:graphic>
          </wp:inline>
        </w:drawing>
      </w:r>
    </w:p>
    <w:p>
      <w:pPr>
        <w:spacing w:after="200"/>
        <w:jc w:val="center"/>
      </w:pPr>
      <w:r>
        <w:rPr>
          <w:rFonts w:ascii="Times New Roman" w:hAnsi="Times New Roman" w:eastAsia="Times New Roman"/>
          <w:b w:val="0"/>
          <w:i/>
          <w:sz w:val="18"/>
        </w:rPr>
        <w:t>Fig. 1. One PE's internal datapath: stationary weight register, INT8 multiply, 20-bit accumulate, and systolic x/psum propagation.</w:t>
      </w:r>
    </w:p>
    <w:p>
      <w:pPr>
        <w:spacing w:before="160" w:after="80"/>
      </w:pPr>
      <w:r>
        <w:rPr>
          <w:rFonts w:ascii="Times New Roman" w:hAnsi="Times New Roman" w:eastAsia="Times New Roman"/>
          <w:b/>
          <w:i/>
          <w:sz w:val="20"/>
        </w:rPr>
        <w:t>B. Fixed-Point Non-Linear Arithmetic Engines</w:t>
      </w:r>
    </w:p>
    <w:p>
      <w:pPr>
        <w:spacing w:before="0" w:after="120"/>
        <w:ind w:firstLine="288"/>
        <w:jc w:val="both"/>
      </w:pPr>
      <w:r>
        <w:rPr>
          <w:rFonts w:ascii="Times New Roman" w:hAnsi="Times New Roman" w:eastAsia="Times New Roman"/>
          <w:b w:val="0"/>
          <w:i w:val="0"/>
          <w:sz w:val="20"/>
        </w:rPr>
        <w:t>Softmax normalization (Softmax_control / Softmax) is a three-pass scalar architecture operating on one buffered row at a time: pass one finds the row maximum via a running comparator; pass two streams the row a second time, computing and accumulating exp(x−max) via a base-2 exponential approximation (a rational scaling of x by log₂(e), split into integer and fractional components with linear interpolation of the fractional power-of-two term); pass three streams the row a third time, computing the final normalized value exp(x−max−ln(Σ)) using a second instance of the same exponential unit combined with a piecewise logarithm approximation (Ln_module) to avoid an explicit division. Formally, for a row x with elements xᵢ, the three passes compute</w:t>
      </w:r>
    </w:p>
    <w:p>
      <w:pPr>
        <w:spacing w:before="80" w:after="0"/>
        <w:jc w:val="center"/>
      </w:pPr>
      <m:oMathPara>
        <m:oMathParaPr>
          <m:jc m:val="center"/>
        </m:oMathParaPr>
        <m:oMath>
          <m:r>
            <m:t>m</m:t>
          </m:r>
          <m:r>
            <m:rPr>
              <m:sty m:val="p"/>
            </m:rPr>
            <m:t>=</m:t>
          </m:r>
          <m:limLow>
            <m:e>
              <m:r>
                <m:rPr>
                  <m:sty m:val="p"/>
                </m:rPr>
                <m:t>max</m:t>
              </m:r>
            </m:e>
            <m:lim>
              <m:r>
                <m:t>i</m:t>
              </m:r>
            </m:lim>
          </m:limLow>
          <m:r>
            <m:rPr>
              <m:sty m:val="p"/>
            </m:rPr>
            <m:t>(</m:t>
          </m:r>
          <m:sSub>
            <m:e>
              <m:r>
                <m:t>x</m:t>
              </m:r>
            </m:e>
            <m:sub>
              <m:r>
                <m:t>i</m:t>
              </m:r>
            </m:sub>
          </m:sSub>
          <m:r>
            <m:rPr>
              <m:sty m:val="p"/>
            </m:rPr>
            <m:t>)</m:t>
          </m:r>
        </m:oMath>
      </m:oMathPara>
    </w:p>
    <w:p>
      <w:pPr>
        <w:spacing w:before="0" w:after="0"/>
        <w:jc w:val="center"/>
      </w:pPr>
      <m:oMathPara>
        <m:oMathParaPr>
          <m:jc m:val="center"/>
        </m:oMathParaPr>
        <m:oMath>
          <m:r>
            <m:t>S</m:t>
          </m:r>
          <m:r>
            <m:rPr>
              <m:sty m:val="p"/>
            </m:rPr>
            <m:t>=</m:t>
          </m:r>
          <m:nary>
            <m:naryPr>
              <m:chr m:val="∑"/>
              <m:limLoc m:val="undOvr"/>
              <m:subHide m:val="off"/>
              <m:supHide m:val="on"/>
            </m:naryPr>
            <m:sub>
              <m:r>
                <m:t>i</m:t>
              </m:r>
            </m:sub>
            <m:sup>
              <m:r>
                <m:t>​</m:t>
              </m:r>
            </m:sup>
            <m:e>
              <m:sSup>
                <m:e>
                  <m:r>
                    <m:t>2</m:t>
                  </m:r>
                </m:e>
                <m:sup>
                  <m:r>
                    <m:rPr>
                      <m:sty m:val="p"/>
                    </m:rPr>
                    <m:t>(</m:t>
                  </m:r>
                  <m:sSub>
                    <m:e>
                      <m:r>
                        <m:t>x</m:t>
                      </m:r>
                    </m:e>
                    <m:sub>
                      <m:r>
                        <m:t>i</m:t>
                      </m:r>
                    </m:sub>
                  </m:sSub>
                  <m:r>
                    <m:rPr>
                      <m:sty m:val="p"/>
                    </m:rPr>
                    <m:t>−</m:t>
                  </m:r>
                  <m:r>
                    <m:t>m</m:t>
                  </m:r>
                  <m:r>
                    <m:rPr>
                      <m:sty m:val="p"/>
                    </m:rPr>
                    <m:t>)</m:t>
                  </m:r>
                  <m:sSub>
                    <m:e>
                      <m:r>
                        <m:rPr>
                          <m:sty m:val="p"/>
                        </m:rPr>
                        <m:t>log</m:t>
                      </m:r>
                    </m:e>
                    <m:sub>
                      <m:r>
                        <m:t>2</m:t>
                      </m:r>
                    </m:sub>
                  </m:sSub>
                  <m:r>
                    <m:t>e</m:t>
                  </m:r>
                </m:sup>
              </m:sSup>
            </m:e>
          </m:nary>
        </m:oMath>
      </m:oMathPara>
    </w:p>
    <w:p>
      <w:pPr>
        <w:spacing w:before="0" w:after="80"/>
        <w:jc w:val="center"/>
      </w:pPr>
      <m:oMathPara>
        <m:oMathParaPr>
          <m:jc m:val="center"/>
        </m:oMathParaPr>
        <m:oMath>
          <m:sSub>
            <m:e>
              <m:r>
                <m:t>y</m:t>
              </m:r>
            </m:e>
            <m:sub>
              <m:r>
                <m:t>i</m:t>
              </m:r>
            </m:sub>
          </m:sSub>
          <m:r>
            <m:rPr>
              <m:sty m:val="p"/>
            </m:rPr>
            <m:t>=</m:t>
          </m:r>
          <m:sSup>
            <m:e>
              <m:r>
                <m:t>2</m:t>
              </m:r>
            </m:e>
            <m:sup>
              <m:r>
                <m:rPr>
                  <m:sty m:val="p"/>
                </m:rPr>
                <m:t>(</m:t>
              </m:r>
              <m:r>
                <m:rPr>
                  <m:sty m:val="p"/>
                </m:rPr>
                <m:t>(</m:t>
              </m:r>
              <m:sSub>
                <m:e>
                  <m:r>
                    <m:t>x</m:t>
                  </m:r>
                </m:e>
                <m:sub>
                  <m:r>
                    <m:t>i</m:t>
                  </m:r>
                </m:sub>
              </m:sSub>
              <m:r>
                <m:rPr>
                  <m:sty m:val="p"/>
                </m:rPr>
                <m:t>−</m:t>
              </m:r>
              <m:r>
                <m:t>m</m:t>
              </m:r>
              <m:r>
                <m:rPr>
                  <m:sty m:val="p"/>
                </m:rPr>
                <m:t>)</m:t>
              </m:r>
              <m:r>
                <m:rPr>
                  <m:sty m:val="p"/>
                </m:rPr>
                <m:t>−</m:t>
              </m:r>
              <m:r>
                <m:rPr>
                  <m:sty m:val="p"/>
                </m:rPr>
                <m:t>ln</m:t>
              </m:r>
              <m:r>
                <m:t>S</m:t>
              </m:r>
              <m:r>
                <m:rPr>
                  <m:sty m:val="p"/>
                </m:rPr>
                <m:t>)</m:t>
              </m:r>
              <m:sSub>
                <m:e>
                  <m:r>
                    <m:rPr>
                      <m:sty m:val="p"/>
                    </m:rPr>
                    <m:t>log</m:t>
                  </m:r>
                </m:e>
                <m:sub>
                  <m:r>
                    <m:t>2</m:t>
                  </m:r>
                </m:sub>
              </m:sSub>
              <m:r>
                <m:t>e</m:t>
              </m:r>
            </m:sup>
          </m:sSup>
        </m:oMath>
      </m:oMathPara>
      <w:r>
        <w:rPr>
          <w:rFonts w:ascii="Times New Roman" w:hAnsi="Times New Roman" w:eastAsia="Times New Roman"/>
          <w:b w:val="0"/>
          <w:i w:val="0"/>
          <w:sz w:val="20"/>
        </w:rPr>
        <w:t xml:space="preserve">    (2)</w:t>
      </w:r>
    </w:p>
    <w:p>
      <w:pPr>
        <w:spacing w:before="0" w:after="120"/>
        <w:ind w:firstLine="288"/>
        <w:jc w:val="both"/>
      </w:pPr>
      <w:r>
        <w:rPr>
          <w:rFonts w:ascii="Times New Roman" w:hAnsi="Times New Roman" w:eastAsia="Times New Roman"/>
          <w:b w:val="0"/>
          <w:i w:val="0"/>
          <w:sz w:val="20"/>
        </w:rPr>
        <w:t>an exact base-2 reformulation of softmax(x)ᵢ = exp(xᵢ−m)/Σ that matches the hardware's own log₂(e)-scaled exponential and Ln_module log-domain division-avoidance strategy exactly, rather than the textbook exp/ln formulation alone. Fig. 2 depicts the resulting finite-state control flow: each of the three passes streams the full N-element row exactly once, strictly sequentially, for a total latency of 3N cycles per row — the structural origin of the serial Softmax bottleneck quantified in Section VII.B.</w:t>
      </w:r>
    </w:p>
    <w:p>
      <w:pPr>
        <w:spacing w:before="120"/>
        <w:jc w:val="center"/>
      </w:pPr>
      <w:r>
        <w:drawing>
          <wp:inline xmlns:a="http://schemas.openxmlformats.org/drawingml/2006/main" xmlns:pic="http://schemas.openxmlformats.org/drawingml/2006/picture">
            <wp:extent cx="2743200" cy="3605349"/>
            <wp:docPr id="2" name="Picture 2"/>
            <wp:cNvGraphicFramePr>
              <a:graphicFrameLocks noChangeAspect="1"/>
            </wp:cNvGraphicFramePr>
            <a:graphic>
              <a:graphicData uri="http://schemas.openxmlformats.org/drawingml/2006/picture">
                <pic:pic>
                  <pic:nvPicPr>
                    <pic:cNvPr id="0" name="fig_softmax_fsm.png"/>
                    <pic:cNvPicPr/>
                  </pic:nvPicPr>
                  <pic:blipFill>
                    <a:blip r:embed="rId10"/>
                    <a:stretch>
                      <a:fillRect/>
                    </a:stretch>
                  </pic:blipFill>
                  <pic:spPr>
                    <a:xfrm>
                      <a:off x="0" y="0"/>
                      <a:ext cx="2743200" cy="3605349"/>
                    </a:xfrm>
                    <a:prstGeom prst="rect"/>
                  </pic:spPr>
                </pic:pic>
              </a:graphicData>
            </a:graphic>
          </wp:inline>
        </w:drawing>
      </w:r>
    </w:p>
    <w:p>
      <w:pPr>
        <w:spacing w:after="200"/>
        <w:jc w:val="center"/>
      </w:pPr>
      <w:r>
        <w:rPr>
          <w:rFonts w:ascii="Times New Roman" w:hAnsi="Times New Roman" w:eastAsia="Times New Roman"/>
          <w:b w:val="0"/>
          <w:i/>
          <w:sz w:val="18"/>
        </w:rPr>
        <w:t>Fig. 2. Softmax_control's 3-pass FSM and its per-pass equations (Eq. 2).</w:t>
      </w:r>
    </w:p>
    <w:p>
      <w:pPr>
        <w:spacing w:before="0" w:after="120"/>
        <w:ind w:firstLine="288"/>
        <w:jc w:val="both"/>
      </w:pPr>
      <w:r>
        <w:rPr>
          <w:rFonts w:ascii="Times New Roman" w:hAnsi="Times New Roman" w:eastAsia="Times New Roman"/>
          <w:b w:val="0"/>
          <w:i w:val="0"/>
          <w:sz w:val="20"/>
        </w:rPr>
        <w:t>The GELU activation (gelu.v) is a two-segment piecewise-linear approximation: inputs beyond a fixed saturation threshold pass through unmodified or clamp to zero according to sign, and inputs within that range are computed via a linear correction term generated by a dedicated interpolation submodule (lin.v).</w:t>
      </w:r>
    </w:p>
    <w:p>
      <w:pPr>
        <w:spacing w:before="160" w:after="80"/>
      </w:pPr>
      <w:r>
        <w:rPr>
          <w:rFonts w:ascii="Times New Roman" w:hAnsi="Times New Roman" w:eastAsia="Times New Roman"/>
          <w:b/>
          <w:i/>
          <w:sz w:val="20"/>
        </w:rPr>
        <w:t>C. Numerical Quantization Strategy</w:t>
      </w:r>
    </w:p>
    <w:p>
      <w:pPr>
        <w:spacing w:before="0" w:after="120"/>
        <w:ind w:firstLine="288"/>
        <w:jc w:val="both"/>
      </w:pPr>
      <w:r>
        <w:rPr>
          <w:rFonts w:ascii="Times New Roman" w:hAnsi="Times New Roman" w:eastAsia="Times New Roman"/>
          <w:b w:val="0"/>
          <w:i w:val="0"/>
          <w:sz w:val="20"/>
        </w:rPr>
        <w:t>Features, weights, and pipeline output are all INT8. The matmul accumulates in extended precision before the shift-and-saturate step described above; Softmax and GELU each carry independent runtime-configurable fixed-point scale registers (softmax_scale_in, softmax_scale_out, gelu_scale), with softmax_scale_out and gelu_scale constrained equal so that the two activation stages interpret the shared int8 boundary between them consistently.</w:t>
      </w:r>
    </w:p>
    <w:p>
      <w:pPr>
        <w:spacing w:before="240" w:after="120"/>
        <w:jc w:val="center"/>
      </w:pPr>
      <w:r>
        <w:rPr>
          <w:rFonts w:ascii="Times New Roman" w:hAnsi="Times New Roman" w:eastAsia="Times New Roman"/>
          <w:b/>
          <w:i w:val="0"/>
          <w:sz w:val="22"/>
        </w:rPr>
        <w:t>III. RTL VERIFICATION &amp; BEHAVIORAL SIMULATION (CADENCE XCELIUM)</w:t>
      </w:r>
    </w:p>
    <w:p>
      <w:pPr>
        <w:spacing w:before="160" w:after="80"/>
      </w:pPr>
      <w:r>
        <w:rPr>
          <w:rFonts w:ascii="Times New Roman" w:hAnsi="Times New Roman" w:eastAsia="Times New Roman"/>
          <w:b/>
          <w:i/>
          <w:sz w:val="20"/>
        </w:rPr>
        <w:t>A. Testbench Architecture &amp; Golden Reference Model</w:t>
      </w:r>
    </w:p>
    <w:p>
      <w:pPr>
        <w:spacing w:before="0" w:after="120"/>
        <w:ind w:firstLine="288"/>
        <w:jc w:val="both"/>
      </w:pPr>
      <w:r>
        <w:rPr>
          <w:rFonts w:ascii="Times New Roman" w:hAnsi="Times New Roman" w:eastAsia="Times New Roman"/>
          <w:b w:val="0"/>
          <w:i w:val="0"/>
          <w:sz w:val="20"/>
        </w:rPr>
        <w:t>Four SystemVerilog testbenches (gelu_tb, Softmax_top_tb, MM_Ultra_tb, and an integration-level transformer_block_tb) each implement a real-valued ($real) golden reference directly in SystemVerilog: an integer matmul with the same round-half-up-and-saturate rule as the RTL shifter, a numerically stable softmax via $exp, and a tanh-approximation GELU via $tanh. The integration testbench chains all three references to validate the full streaming pipeline against one coherent golden model.</w:t>
      </w:r>
    </w:p>
    <w:p>
      <w:pPr>
        <w:spacing w:before="160" w:after="80"/>
      </w:pPr>
      <w:r>
        <w:rPr>
          <w:rFonts w:ascii="Times New Roman" w:hAnsi="Times New Roman" w:eastAsia="Times New Roman"/>
          <w:b/>
          <w:i/>
          <w:sz w:val="20"/>
        </w:rPr>
        <w:t>B. Simulation Results &amp; Numerical Precision Verification</w:t>
      </w:r>
    </w:p>
    <w:p>
      <w:pPr>
        <w:spacing w:before="0" w:after="120"/>
        <w:ind w:firstLine="288"/>
        <w:jc w:val="both"/>
      </w:pPr>
      <w:r>
        <w:rPr>
          <w:rFonts w:ascii="Times New Roman" w:hAnsi="Times New Roman" w:eastAsia="Times New Roman"/>
          <w:b w:val="0"/>
          <w:i w:val="0"/>
          <w:sz w:val="20"/>
        </w:rPr>
        <w:t>Verification is tolerance-bounded throughout, not exact-match: unit-level tests compare against a scale-dependent LSB threshold, and the full-pipeline integration test uses a 6-LSB tolerance at the shared Softmax-output/GELU scale to absorb error compounding across the two INT8 quantization boundaries. At full scale (200×96×160), the integration run recorded zero of 32,000 output elements outside tolerance, with an 18,083-cycle end-to-end pipeline latency.</w:t>
      </w:r>
    </w:p>
    <w:p>
      <w:pPr>
        <w:spacing w:before="0" w:after="120"/>
        <w:ind w:firstLine="288"/>
        <w:jc w:val="both"/>
      </w:pPr>
      <w:r>
        <w:rPr>
          <w:rFonts w:ascii="Times New Roman" w:hAnsi="Times New Roman" w:eastAsia="Times New Roman"/>
          <w:b w:val="0"/>
          <w:i w:val="0"/>
          <w:sz w:val="20"/>
        </w:rPr>
        <w:t>Fig. 3 illustrates the AXI4-Stream handshake and the 3-pass timing structure a feature row actually traverses on ingest — shown as a protocol-structure diagram rather than a captured simulation trace, since visualizing a specific signal-level EDA waveform faithfully would require an actual Xcelium/SimVision trace export, not a reconstruction.</w:t>
      </w:r>
    </w:p>
    <w:p>
      <w:pPr>
        <w:spacing w:before="120"/>
        <w:jc w:val="center"/>
      </w:pPr>
      <w:r>
        <w:drawing>
          <wp:inline xmlns:a="http://schemas.openxmlformats.org/drawingml/2006/main" xmlns:pic="http://schemas.openxmlformats.org/drawingml/2006/picture">
            <wp:extent cx="3108960" cy="1598894"/>
            <wp:docPr id="3" name="Picture 3"/>
            <wp:cNvGraphicFramePr>
              <a:graphicFrameLocks noChangeAspect="1"/>
            </wp:cNvGraphicFramePr>
            <a:graphic>
              <a:graphicData uri="http://schemas.openxmlformats.org/drawingml/2006/picture">
                <pic:pic>
                  <pic:nvPicPr>
                    <pic:cNvPr id="0" name="fig_axi_timing.png"/>
                    <pic:cNvPicPr/>
                  </pic:nvPicPr>
                  <pic:blipFill>
                    <a:blip r:embed="rId11"/>
                    <a:stretch>
                      <a:fillRect/>
                    </a:stretch>
                  </pic:blipFill>
                  <pic:spPr>
                    <a:xfrm>
                      <a:off x="0" y="0"/>
                      <a:ext cx="3108960" cy="1598894"/>
                    </a:xfrm>
                    <a:prstGeom prst="rect"/>
                  </pic:spPr>
                </pic:pic>
              </a:graphicData>
            </a:graphic>
          </wp:inline>
        </w:drawing>
      </w:r>
    </w:p>
    <w:p>
      <w:pPr>
        <w:spacing w:after="200"/>
        <w:jc w:val="center"/>
      </w:pPr>
      <w:r>
        <w:rPr>
          <w:rFonts w:ascii="Times New Roman" w:hAnsi="Times New Roman" w:eastAsia="Times New Roman"/>
          <w:b w:val="0"/>
          <w:i/>
          <w:sz w:val="18"/>
        </w:rPr>
        <w:t>Fig. 3. Illustrative AXI4-Stream handshake and 3-pass Softmax timing structure (protocol shape, not a captured EDA trace).</w:t>
      </w:r>
    </w:p>
    <w:p>
      <w:pPr>
        <w:spacing w:before="160" w:after="80"/>
      </w:pPr>
      <w:r>
        <w:rPr>
          <w:rFonts w:ascii="Times New Roman" w:hAnsi="Times New Roman" w:eastAsia="Times New Roman"/>
          <w:b/>
          <w:i/>
          <w:sz w:val="20"/>
        </w:rPr>
        <w:t>C. Pre-Silicon Logic Debugging</w:t>
      </w:r>
    </w:p>
    <w:p>
      <w:pPr>
        <w:spacing w:before="0" w:after="120"/>
        <w:ind w:firstLine="288"/>
        <w:jc w:val="both"/>
      </w:pPr>
      <w:r>
        <w:rPr>
          <w:rFonts w:ascii="Times New Roman" w:hAnsi="Times New Roman" w:eastAsia="Times New Roman"/>
          <w:b w:val="0"/>
          <w:i w:val="0"/>
          <w:sz w:val="20"/>
        </w:rPr>
        <w:t>Three representative issues surfaced during simulation bring-up: a stimulus-side forward-reference bug in a testbench control signal (Appendix A.2); an Xcelium elaboration-time memory blowup traced to a generate-loop-unrolled per-scalar wire array that scaled combinatorially with matrix size, resolved by replacing it with an on-demand packing function (Appendix A.1); and a datapath port declared as output reg rather than output wire, which was silently dropped during elaboration rather than flagged as an error. A fourth, logically distinct issue — a documented but never-closed port-width mismatch between Softmax's and GELU's scale registers — is detailed separately in Appendix A.3. Each entry gives the full investigation and fix, not just the one-line summary above.</w:t>
      </w:r>
    </w:p>
    <w:p>
      <w:pPr>
        <w:spacing w:before="240" w:after="120"/>
        <w:jc w:val="center"/>
      </w:pPr>
      <w:r>
        <w:rPr>
          <w:rFonts w:ascii="Times New Roman" w:hAnsi="Times New Roman" w:eastAsia="Times New Roman"/>
          <w:b/>
          <w:i w:val="0"/>
          <w:sz w:val="22"/>
        </w:rPr>
        <w:t>IV. SOC INTEGRATION &amp; HARDWARE PLATFORM DESIGN (PYNQ-Z2 / ZYNQ-7020)</w:t>
      </w:r>
    </w:p>
    <w:p>
      <w:pPr>
        <w:spacing w:before="160" w:after="80"/>
      </w:pPr>
      <w:r>
        <w:rPr>
          <w:rFonts w:ascii="Times New Roman" w:hAnsi="Times New Roman" w:eastAsia="Times New Roman"/>
          <w:b/>
          <w:i/>
          <w:sz w:val="20"/>
        </w:rPr>
        <w:t>A. SoC Architecture</w:t>
      </w:r>
    </w:p>
    <w:p>
      <w:pPr>
        <w:spacing w:before="0" w:after="120"/>
        <w:ind w:firstLine="288"/>
        <w:jc w:val="both"/>
      </w:pPr>
      <w:r>
        <w:rPr>
          <w:rFonts w:ascii="Times New Roman" w:hAnsi="Times New Roman" w:eastAsia="Times New Roman"/>
          <w:b w:val="0"/>
          <w:i w:val="0"/>
          <w:sz w:val="20"/>
        </w:rPr>
        <w:t>The accelerator is wrapped as an AXI4-Lite-controlled, dual AXI4-Stream-slave / single AXI4-Stream-master peripheral (transformer_block_axi_top) and integrated alongside the Zynq-7020's dual-core ARM Cortex-A9 processing system, an AXI SmartConnect interconnect, and three independent AXI Direct Memory Access engines (feature, weight, and result channels) via Xilinx IP Integrator. Fig. 4 shows the complete top-level datapath: the PS7 configures the pipeline over AXI-Lite and streams feature and weight tensors in via two MM2S DMA channels, while a third, independent S2MM channel returns the GELU stage's output; internally, width-adapter glue logic bridges each stage's differing datapath width, exactly as detailed in Section IV.B.</w:t>
      </w:r>
    </w:p>
    <w:p>
      <w:pPr>
        <w:sectPr>
          <w:type w:val="continuous"/>
          <w:pgSz w:w="12240" w:h="15840"/>
          <w:pgMar w:top="1077" w:right="850" w:bottom="1417" w:left="850" w:header="720" w:footer="720" w:gutter="0"/>
          <w:cols w:space="360" w:num="2"/>
          <w:docGrid w:linePitch="360"/>
        </w:sectPr>
      </w:pPr>
    </w:p>
    <w:p>
      <w:pPr>
        <w:spacing w:before="120"/>
        <w:jc w:val="center"/>
      </w:pPr>
      <w:r>
        <w:drawing>
          <wp:inline xmlns:a="http://schemas.openxmlformats.org/drawingml/2006/main" xmlns:pic="http://schemas.openxmlformats.org/drawingml/2006/picture">
            <wp:extent cx="6400800" cy="2235200"/>
            <wp:docPr id="4" name="Picture 4"/>
            <wp:cNvGraphicFramePr>
              <a:graphicFrameLocks noChangeAspect="1"/>
            </wp:cNvGraphicFramePr>
            <a:graphic>
              <a:graphicData uri="http://schemas.openxmlformats.org/drawingml/2006/picture">
                <pic:pic>
                  <pic:nvPicPr>
                    <pic:cNvPr id="0" name="fig_soc_architecture.png"/>
                    <pic:cNvPicPr/>
                  </pic:nvPicPr>
                  <pic:blipFill>
                    <a:blip r:embed="rId12"/>
                    <a:stretch>
                      <a:fillRect/>
                    </a:stretch>
                  </pic:blipFill>
                  <pic:spPr>
                    <a:xfrm>
                      <a:off x="0" y="0"/>
                      <a:ext cx="6400800" cy="2235200"/>
                    </a:xfrm>
                    <a:prstGeom prst="rect"/>
                  </pic:spPr>
                </pic:pic>
              </a:graphicData>
            </a:graphic>
          </wp:inline>
        </w:drawing>
      </w:r>
    </w:p>
    <w:p>
      <w:pPr>
        <w:spacing w:after="200"/>
        <w:jc w:val="center"/>
      </w:pPr>
      <w:r>
        <w:rPr>
          <w:rFonts w:ascii="Times New Roman" w:hAnsi="Times New Roman" w:eastAsia="Times New Roman"/>
          <w:b w:val="0"/>
          <w:i/>
          <w:sz w:val="18"/>
        </w:rPr>
        <w:t>Fig. 4. Complete top-level SoC architecture: PS7, three AXI DMA channels, and the transformer_block_axi_top internal pipeline.</w:t>
      </w:r>
    </w:p>
    <w:p>
      <w:pPr>
        <w:sectPr>
          <w:type w:val="continuous"/>
          <w:pgSz w:w="12240" w:h="15840"/>
          <w:pgMar w:top="1077" w:right="850" w:bottom="1417" w:left="850" w:header="720" w:footer="720" w:gutter="0"/>
          <w:cols w:space="360" w:num="1"/>
          <w:docGrid w:linePitch="360"/>
        </w:sectPr>
      </w:pPr>
    </w:p>
    <w:p>
      <w:pPr>
        <w:spacing w:before="0" w:after="120"/>
        <w:ind w:firstLine="288"/>
        <w:jc w:val="both"/>
      </w:pPr>
      <w:r>
        <w:rPr>
          <w:rFonts w:ascii="Times New Roman" w:hAnsi="Times New Roman" w:eastAsia="Times New Roman"/>
          <w:b w:val="0"/>
          <w:i w:val="0"/>
          <w:sz w:val="20"/>
        </w:rPr>
        <w:t>Table I lists transformer_block_axi_top's complete AXI4-Lite register interface, sourced directly from transformer_block_axi.v's own header comment: eight 32-bit words at addr[4:2], seven read/write configuration registers plus one read-only status bit.</w:t>
      </w:r>
    </w:p>
    <w:p>
      <w:pPr>
        <w:spacing w:before="120" w:after="40"/>
        <w:jc w:val="center"/>
      </w:pPr>
      <w:r>
        <w:rPr>
          <w:rFonts w:ascii="Times New Roman" w:hAnsi="Times New Roman" w:eastAsia="Times New Roman"/>
          <w:b w:val="0"/>
          <w:i w:val="0"/>
          <w:sz w:val="18"/>
        </w:rPr>
        <w:t>TABLE I. transformer_block_axi_top AXI4-LITE REGISTER MAP</w:t>
      </w:r>
    </w:p>
    <w:tbl>
      <w:tblPr>
        <w:tblW w:type="auto" w:w="0"/>
        <w:tblLayout w:type="fixed"/>
        <w:tblLook w:firstColumn="1" w:firstRow="1" w:lastColumn="0" w:lastRow="0" w:noHBand="0" w:noVBand="1" w:val="04A0"/>
      </w:tblPr>
      <w:tblGrid>
        <w:gridCol w:w="648"/>
        <w:gridCol w:w="1656"/>
        <w:gridCol w:w="792"/>
        <w:gridCol w:w="504"/>
        <w:gridCol w:w="1512"/>
      </w:tblGrid>
      <w:tr>
        <w:trPr>
          <w:cantSplit/>
        </w:trPr>
        <w:tc>
          <w:tcPr>
            <w:tcW w:type="dxa" w:w="648"/>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Addr</w:t>
            </w:r>
          </w:p>
        </w:tc>
        <w:tc>
          <w:tcPr>
            <w:tcW w:type="dxa" w:w="1656"/>
            <w:tcBorders>
              <w:top w:val="single" w:sz="8" w:space="0" w:color="0B0B0B"/>
              <w:bottom w:val="single" w:sz="6" w:space="0" w:color="0B0B0B"/>
              <w:left w:val="nil"/>
              <w:right w:val="nil"/>
            </w:tcBorders>
          </w:tcPr>
          <w:p>
            <w:pPr>
              <w:jc w:val="left"/>
            </w:pPr>
            <w:r/>
            <w:r>
              <w:rPr>
                <w:rFonts w:ascii="Times New Roman" w:hAnsi="Times New Roman" w:eastAsia="Times New Roman"/>
                <w:b/>
                <w:i w:val="0"/>
                <w:sz w:val="17"/>
              </w:rPr>
              <w:t>Register</w:t>
            </w:r>
          </w:p>
        </w:tc>
        <w:tc>
          <w:tcPr>
            <w:tcW w:type="dxa" w:w="792"/>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Bits</w:t>
            </w:r>
          </w:p>
        </w:tc>
        <w:tc>
          <w:tcPr>
            <w:tcW w:type="dxa" w:w="504"/>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R/W</w:t>
            </w:r>
          </w:p>
        </w:tc>
        <w:tc>
          <w:tcPr>
            <w:tcW w:type="dxa" w:w="1512"/>
            <w:tcBorders>
              <w:top w:val="single" w:sz="8" w:space="0" w:color="0B0B0B"/>
              <w:bottom w:val="single" w:sz="6" w:space="0" w:color="0B0B0B"/>
              <w:left w:val="nil"/>
              <w:right w:val="nil"/>
            </w:tcBorders>
          </w:tcPr>
          <w:p>
            <w:pPr>
              <w:jc w:val="left"/>
            </w:pPr>
            <w:r/>
            <w:r>
              <w:rPr>
                <w:rFonts w:ascii="Times New Roman" w:hAnsi="Times New Roman" w:eastAsia="Times New Roman"/>
                <w:b/>
                <w:i w:val="0"/>
                <w:sz w:val="17"/>
              </w:rPr>
              <w:t>Description</w:t>
            </w:r>
          </w:p>
        </w:tc>
      </w:tr>
      <w:tr>
        <w:trPr>
          <w:cantSplit/>
        </w:trPr>
        <w:tc>
          <w:tcPr>
            <w:tcW w:type="dxa" w:w="648"/>
            <w:tcBorders>
              <w:top w:val="nil"/>
              <w:bottom w:val="nil"/>
              <w:left w:val="nil"/>
              <w:right w:val="nil"/>
            </w:tcBorders>
          </w:tcPr>
          <w:p>
            <w:pPr>
              <w:jc w:val="center"/>
            </w:pPr>
            <w:r/>
            <w:r>
              <w:rPr>
                <w:rFonts w:ascii="Times New Roman" w:hAnsi="Times New Roman" w:eastAsia="Times New Roman"/>
                <w:b w:val="0"/>
                <w:i w:val="0"/>
                <w:sz w:val="17"/>
              </w:rPr>
              <w:t>0x00</w:t>
            </w:r>
          </w:p>
        </w:tc>
        <w:tc>
          <w:tcPr>
            <w:tcW w:type="dxa" w:w="1656"/>
            <w:tcBorders>
              <w:top w:val="nil"/>
              <w:bottom w:val="nil"/>
              <w:left w:val="nil"/>
              <w:right w:val="nil"/>
            </w:tcBorders>
          </w:tcPr>
          <w:p>
            <w:pPr>
              <w:jc w:val="left"/>
            </w:pPr>
            <w:r/>
            <w:r>
              <w:rPr>
                <w:rFonts w:ascii="Times New Roman" w:hAnsi="Times New Roman" w:eastAsia="Times New Roman"/>
                <w:b w:val="0"/>
                <w:i w:val="0"/>
                <w:sz w:val="17"/>
              </w:rPr>
              <w:t>mm_shift_in</w:t>
            </w:r>
          </w:p>
        </w:tc>
        <w:tc>
          <w:tcPr>
            <w:tcW w:type="dxa" w:w="792"/>
            <w:tcBorders>
              <w:top w:val="nil"/>
              <w:bottom w:val="nil"/>
              <w:left w:val="nil"/>
              <w:right w:val="nil"/>
            </w:tcBorders>
          </w:tcPr>
          <w:p>
            <w:pPr>
              <w:jc w:val="center"/>
            </w:pPr>
            <w:r/>
            <w:r>
              <w:rPr>
                <w:rFonts w:ascii="Times New Roman" w:hAnsi="Times New Roman" w:eastAsia="Times New Roman"/>
                <w:b w:val="0"/>
                <w:i w:val="0"/>
                <w:sz w:val="17"/>
              </w:rPr>
              <w:t>10</w:t>
            </w:r>
          </w:p>
        </w:tc>
        <w:tc>
          <w:tcPr>
            <w:tcW w:type="dxa" w:w="504"/>
            <w:tcBorders>
              <w:top w:val="nil"/>
              <w:bottom w:val="nil"/>
              <w:left w:val="nil"/>
              <w:right w:val="nil"/>
            </w:tcBorders>
          </w:tcPr>
          <w:p>
            <w:pPr>
              <w:jc w:val="center"/>
            </w:pPr>
            <w:r/>
            <w:r>
              <w:rPr>
                <w:rFonts w:ascii="Times New Roman" w:hAnsi="Times New Roman" w:eastAsia="Times New Roman"/>
                <w:b w:val="0"/>
                <w:i w:val="0"/>
                <w:sz w:val="17"/>
              </w:rPr>
              <w:t>RW</w:t>
            </w:r>
          </w:p>
        </w:tc>
        <w:tc>
          <w:tcPr>
            <w:tcW w:type="dxa" w:w="1512"/>
            <w:tcBorders>
              <w:top w:val="nil"/>
              <w:bottom w:val="nil"/>
              <w:left w:val="nil"/>
              <w:right w:val="nil"/>
            </w:tcBorders>
          </w:tcPr>
          <w:p>
            <w:pPr>
              <w:jc w:val="left"/>
            </w:pPr>
            <w:r/>
            <w:r>
              <w:rPr>
                <w:rFonts w:ascii="Times New Roman" w:hAnsi="Times New Roman" w:eastAsia="Times New Roman"/>
                <w:b w:val="0"/>
                <w:i w:val="0"/>
                <w:sz w:val="17"/>
              </w:rPr>
              <w:t>Matmul output right-shift amount (Eq. 1)</w:t>
            </w:r>
          </w:p>
        </w:tc>
      </w:tr>
      <w:tr>
        <w:trPr>
          <w:cantSplit/>
        </w:trPr>
        <w:tc>
          <w:tcPr>
            <w:tcW w:type="dxa" w:w="648"/>
            <w:tcBorders>
              <w:top w:val="nil"/>
              <w:bottom w:val="nil"/>
              <w:left w:val="nil"/>
              <w:right w:val="nil"/>
            </w:tcBorders>
          </w:tcPr>
          <w:p>
            <w:pPr>
              <w:jc w:val="center"/>
            </w:pPr>
            <w:r/>
            <w:r>
              <w:rPr>
                <w:rFonts w:ascii="Times New Roman" w:hAnsi="Times New Roman" w:eastAsia="Times New Roman"/>
                <w:b w:val="0"/>
                <w:i w:val="0"/>
                <w:sz w:val="17"/>
              </w:rPr>
              <w:t>0x04</w:t>
            </w:r>
          </w:p>
        </w:tc>
        <w:tc>
          <w:tcPr>
            <w:tcW w:type="dxa" w:w="1656"/>
            <w:tcBorders>
              <w:top w:val="nil"/>
              <w:bottom w:val="nil"/>
              <w:left w:val="nil"/>
              <w:right w:val="nil"/>
            </w:tcBorders>
          </w:tcPr>
          <w:p>
            <w:pPr>
              <w:jc w:val="left"/>
            </w:pPr>
            <w:r/>
            <w:r>
              <w:rPr>
                <w:rFonts w:ascii="Times New Roman" w:hAnsi="Times New Roman" w:eastAsia="Times New Roman"/>
                <w:b w:val="0"/>
                <w:i w:val="0"/>
                <w:sz w:val="17"/>
              </w:rPr>
              <w:t>mm_F_length_in</w:t>
            </w:r>
          </w:p>
        </w:tc>
        <w:tc>
          <w:tcPr>
            <w:tcW w:type="dxa" w:w="792"/>
            <w:tcBorders>
              <w:top w:val="nil"/>
              <w:bottom w:val="nil"/>
              <w:left w:val="nil"/>
              <w:right w:val="nil"/>
            </w:tcBorders>
          </w:tcPr>
          <w:p>
            <w:pPr>
              <w:jc w:val="center"/>
            </w:pPr>
            <w:r/>
            <w:r>
              <w:rPr>
                <w:rFonts w:ascii="Times New Roman" w:hAnsi="Times New Roman" w:eastAsia="Times New Roman"/>
                <w:b w:val="0"/>
                <w:i w:val="0"/>
                <w:sz w:val="17"/>
              </w:rPr>
              <w:t>10</w:t>
            </w:r>
          </w:p>
        </w:tc>
        <w:tc>
          <w:tcPr>
            <w:tcW w:type="dxa" w:w="504"/>
            <w:tcBorders>
              <w:top w:val="nil"/>
              <w:bottom w:val="nil"/>
              <w:left w:val="nil"/>
              <w:right w:val="nil"/>
            </w:tcBorders>
          </w:tcPr>
          <w:p>
            <w:pPr>
              <w:jc w:val="center"/>
            </w:pPr>
            <w:r/>
            <w:r>
              <w:rPr>
                <w:rFonts w:ascii="Times New Roman" w:hAnsi="Times New Roman" w:eastAsia="Times New Roman"/>
                <w:b w:val="0"/>
                <w:i w:val="0"/>
                <w:sz w:val="17"/>
              </w:rPr>
              <w:t>RW</w:t>
            </w:r>
          </w:p>
        </w:tc>
        <w:tc>
          <w:tcPr>
            <w:tcW w:type="dxa" w:w="1512"/>
            <w:tcBorders>
              <w:top w:val="nil"/>
              <w:bottom w:val="nil"/>
              <w:left w:val="nil"/>
              <w:right w:val="nil"/>
            </w:tcBorders>
          </w:tcPr>
          <w:p>
            <w:pPr>
              <w:jc w:val="left"/>
            </w:pPr>
            <w:r/>
            <w:r>
              <w:rPr>
                <w:rFonts w:ascii="Times New Roman" w:hAnsi="Times New Roman" w:eastAsia="Times New Roman"/>
                <w:b w:val="0"/>
                <w:i w:val="0"/>
                <w:sz w:val="17"/>
              </w:rPr>
              <w:t>Feature matrix row count (F_length)</w:t>
            </w:r>
          </w:p>
        </w:tc>
      </w:tr>
      <w:tr>
        <w:trPr>
          <w:cantSplit/>
        </w:trPr>
        <w:tc>
          <w:tcPr>
            <w:tcW w:type="dxa" w:w="648"/>
            <w:tcBorders>
              <w:top w:val="nil"/>
              <w:bottom w:val="nil"/>
              <w:left w:val="nil"/>
              <w:right w:val="nil"/>
            </w:tcBorders>
          </w:tcPr>
          <w:p>
            <w:pPr>
              <w:jc w:val="center"/>
            </w:pPr>
            <w:r/>
            <w:r>
              <w:rPr>
                <w:rFonts w:ascii="Times New Roman" w:hAnsi="Times New Roman" w:eastAsia="Times New Roman"/>
                <w:b w:val="0"/>
                <w:i w:val="0"/>
                <w:sz w:val="17"/>
              </w:rPr>
              <w:t>0x08</w:t>
            </w:r>
          </w:p>
        </w:tc>
        <w:tc>
          <w:tcPr>
            <w:tcW w:type="dxa" w:w="1656"/>
            <w:tcBorders>
              <w:top w:val="nil"/>
              <w:bottom w:val="nil"/>
              <w:left w:val="nil"/>
              <w:right w:val="nil"/>
            </w:tcBorders>
          </w:tcPr>
          <w:p>
            <w:pPr>
              <w:jc w:val="left"/>
            </w:pPr>
            <w:r/>
            <w:r>
              <w:rPr>
                <w:rFonts w:ascii="Times New Roman" w:hAnsi="Times New Roman" w:eastAsia="Times New Roman"/>
                <w:b w:val="0"/>
                <w:i w:val="0"/>
                <w:sz w:val="17"/>
              </w:rPr>
              <w:t>mm_F_width_block_num_in</w:t>
            </w:r>
          </w:p>
        </w:tc>
        <w:tc>
          <w:tcPr>
            <w:tcW w:type="dxa" w:w="792"/>
            <w:tcBorders>
              <w:top w:val="nil"/>
              <w:bottom w:val="nil"/>
              <w:left w:val="nil"/>
              <w:right w:val="nil"/>
            </w:tcBorders>
          </w:tcPr>
          <w:p>
            <w:pPr>
              <w:jc w:val="center"/>
            </w:pPr>
            <w:r/>
            <w:r>
              <w:rPr>
                <w:rFonts w:ascii="Times New Roman" w:hAnsi="Times New Roman" w:eastAsia="Times New Roman"/>
                <w:b w:val="0"/>
                <w:i w:val="0"/>
                <w:sz w:val="17"/>
              </w:rPr>
              <w:t>5</w:t>
            </w:r>
          </w:p>
        </w:tc>
        <w:tc>
          <w:tcPr>
            <w:tcW w:type="dxa" w:w="504"/>
            <w:tcBorders>
              <w:top w:val="nil"/>
              <w:bottom w:val="nil"/>
              <w:left w:val="nil"/>
              <w:right w:val="nil"/>
            </w:tcBorders>
          </w:tcPr>
          <w:p>
            <w:pPr>
              <w:jc w:val="center"/>
            </w:pPr>
            <w:r/>
            <w:r>
              <w:rPr>
                <w:rFonts w:ascii="Times New Roman" w:hAnsi="Times New Roman" w:eastAsia="Times New Roman"/>
                <w:b w:val="0"/>
                <w:i w:val="0"/>
                <w:sz w:val="17"/>
              </w:rPr>
              <w:t>RW</w:t>
            </w:r>
          </w:p>
        </w:tc>
        <w:tc>
          <w:tcPr>
            <w:tcW w:type="dxa" w:w="1512"/>
            <w:tcBorders>
              <w:top w:val="nil"/>
              <w:bottom w:val="nil"/>
              <w:left w:val="nil"/>
              <w:right w:val="nil"/>
            </w:tcBorders>
          </w:tcPr>
          <w:p>
            <w:pPr>
              <w:jc w:val="left"/>
            </w:pPr>
            <w:r/>
            <w:r>
              <w:rPr>
                <w:rFonts w:ascii="Times New Roman" w:hAnsi="Times New Roman" w:eastAsia="Times New Roman"/>
                <w:b w:val="0"/>
                <w:i w:val="0"/>
                <w:sz w:val="17"/>
              </w:rPr>
              <w:t>Feature matrix width, in A_size-wide blocks</w:t>
            </w:r>
          </w:p>
        </w:tc>
      </w:tr>
      <w:tr>
        <w:trPr>
          <w:cantSplit/>
        </w:trPr>
        <w:tc>
          <w:tcPr>
            <w:tcW w:type="dxa" w:w="648"/>
            <w:tcBorders>
              <w:top w:val="nil"/>
              <w:bottom w:val="nil"/>
              <w:left w:val="nil"/>
              <w:right w:val="nil"/>
            </w:tcBorders>
          </w:tcPr>
          <w:p>
            <w:pPr>
              <w:jc w:val="center"/>
            </w:pPr>
            <w:r/>
            <w:r>
              <w:rPr>
                <w:rFonts w:ascii="Times New Roman" w:hAnsi="Times New Roman" w:eastAsia="Times New Roman"/>
                <w:b w:val="0"/>
                <w:i w:val="0"/>
                <w:sz w:val="17"/>
              </w:rPr>
              <w:t>0x0C</w:t>
            </w:r>
          </w:p>
        </w:tc>
        <w:tc>
          <w:tcPr>
            <w:tcW w:type="dxa" w:w="1656"/>
            <w:tcBorders>
              <w:top w:val="nil"/>
              <w:bottom w:val="nil"/>
              <w:left w:val="nil"/>
              <w:right w:val="nil"/>
            </w:tcBorders>
          </w:tcPr>
          <w:p>
            <w:pPr>
              <w:jc w:val="left"/>
            </w:pPr>
            <w:r/>
            <w:r>
              <w:rPr>
                <w:rFonts w:ascii="Times New Roman" w:hAnsi="Times New Roman" w:eastAsia="Times New Roman"/>
                <w:b w:val="0"/>
                <w:i w:val="0"/>
                <w:sz w:val="17"/>
              </w:rPr>
              <w:t>mm_W_width_block_num_in</w:t>
            </w:r>
          </w:p>
        </w:tc>
        <w:tc>
          <w:tcPr>
            <w:tcW w:type="dxa" w:w="792"/>
            <w:tcBorders>
              <w:top w:val="nil"/>
              <w:bottom w:val="nil"/>
              <w:left w:val="nil"/>
              <w:right w:val="nil"/>
            </w:tcBorders>
          </w:tcPr>
          <w:p>
            <w:pPr>
              <w:jc w:val="center"/>
            </w:pPr>
            <w:r/>
            <w:r>
              <w:rPr>
                <w:rFonts w:ascii="Times New Roman" w:hAnsi="Times New Roman" w:eastAsia="Times New Roman"/>
                <w:b w:val="0"/>
                <w:i w:val="0"/>
                <w:sz w:val="17"/>
              </w:rPr>
              <w:t>5</w:t>
            </w:r>
          </w:p>
        </w:tc>
        <w:tc>
          <w:tcPr>
            <w:tcW w:type="dxa" w:w="504"/>
            <w:tcBorders>
              <w:top w:val="nil"/>
              <w:bottom w:val="nil"/>
              <w:left w:val="nil"/>
              <w:right w:val="nil"/>
            </w:tcBorders>
          </w:tcPr>
          <w:p>
            <w:pPr>
              <w:jc w:val="center"/>
            </w:pPr>
            <w:r/>
            <w:r>
              <w:rPr>
                <w:rFonts w:ascii="Times New Roman" w:hAnsi="Times New Roman" w:eastAsia="Times New Roman"/>
                <w:b w:val="0"/>
                <w:i w:val="0"/>
                <w:sz w:val="17"/>
              </w:rPr>
              <w:t>RW</w:t>
            </w:r>
          </w:p>
        </w:tc>
        <w:tc>
          <w:tcPr>
            <w:tcW w:type="dxa" w:w="1512"/>
            <w:tcBorders>
              <w:top w:val="nil"/>
              <w:bottom w:val="nil"/>
              <w:left w:val="nil"/>
              <w:right w:val="nil"/>
            </w:tcBorders>
          </w:tcPr>
          <w:p>
            <w:pPr>
              <w:jc w:val="left"/>
            </w:pPr>
            <w:r/>
            <w:r>
              <w:rPr>
                <w:rFonts w:ascii="Times New Roman" w:hAnsi="Times New Roman" w:eastAsia="Times New Roman"/>
                <w:b w:val="0"/>
                <w:i w:val="0"/>
                <w:sz w:val="17"/>
              </w:rPr>
              <w:t>Weight matrix width, in A_size-wide blocks</w:t>
            </w:r>
          </w:p>
        </w:tc>
      </w:tr>
      <w:tr>
        <w:trPr>
          <w:cantSplit/>
        </w:trPr>
        <w:tc>
          <w:tcPr>
            <w:tcW w:type="dxa" w:w="648"/>
            <w:tcBorders>
              <w:top w:val="nil"/>
              <w:bottom w:val="nil"/>
              <w:left w:val="nil"/>
              <w:right w:val="nil"/>
            </w:tcBorders>
          </w:tcPr>
          <w:p>
            <w:pPr>
              <w:jc w:val="center"/>
            </w:pPr>
            <w:r/>
            <w:r>
              <w:rPr>
                <w:rFonts w:ascii="Times New Roman" w:hAnsi="Times New Roman" w:eastAsia="Times New Roman"/>
                <w:b w:val="0"/>
                <w:i w:val="0"/>
                <w:sz w:val="17"/>
              </w:rPr>
              <w:t>0x10</w:t>
            </w:r>
          </w:p>
        </w:tc>
        <w:tc>
          <w:tcPr>
            <w:tcW w:type="dxa" w:w="1656"/>
            <w:tcBorders>
              <w:top w:val="nil"/>
              <w:bottom w:val="nil"/>
              <w:left w:val="nil"/>
              <w:right w:val="nil"/>
            </w:tcBorders>
          </w:tcPr>
          <w:p>
            <w:pPr>
              <w:jc w:val="left"/>
            </w:pPr>
            <w:r/>
            <w:r>
              <w:rPr>
                <w:rFonts w:ascii="Times New Roman" w:hAnsi="Times New Roman" w:eastAsia="Times New Roman"/>
                <w:b w:val="0"/>
                <w:i w:val="0"/>
                <w:sz w:val="17"/>
              </w:rPr>
              <w:t>softmax_scale_in</w:t>
            </w:r>
          </w:p>
        </w:tc>
        <w:tc>
          <w:tcPr>
            <w:tcW w:type="dxa" w:w="792"/>
            <w:tcBorders>
              <w:top w:val="nil"/>
              <w:bottom w:val="nil"/>
              <w:left w:val="nil"/>
              <w:right w:val="nil"/>
            </w:tcBorders>
          </w:tcPr>
          <w:p>
            <w:pPr>
              <w:jc w:val="center"/>
            </w:pPr>
            <w:r/>
            <w:r>
              <w:rPr>
                <w:rFonts w:ascii="Times New Roman" w:hAnsi="Times New Roman" w:eastAsia="Times New Roman"/>
                <w:b w:val="0"/>
                <w:i w:val="0"/>
                <w:sz w:val="17"/>
              </w:rPr>
              <w:t>4, signed</w:t>
            </w:r>
          </w:p>
        </w:tc>
        <w:tc>
          <w:tcPr>
            <w:tcW w:type="dxa" w:w="504"/>
            <w:tcBorders>
              <w:top w:val="nil"/>
              <w:bottom w:val="nil"/>
              <w:left w:val="nil"/>
              <w:right w:val="nil"/>
            </w:tcBorders>
          </w:tcPr>
          <w:p>
            <w:pPr>
              <w:jc w:val="center"/>
            </w:pPr>
            <w:r/>
            <w:r>
              <w:rPr>
                <w:rFonts w:ascii="Times New Roman" w:hAnsi="Times New Roman" w:eastAsia="Times New Roman"/>
                <w:b w:val="0"/>
                <w:i w:val="0"/>
                <w:sz w:val="17"/>
              </w:rPr>
              <w:t>RW</w:t>
            </w:r>
          </w:p>
        </w:tc>
        <w:tc>
          <w:tcPr>
            <w:tcW w:type="dxa" w:w="1512"/>
            <w:tcBorders>
              <w:top w:val="nil"/>
              <w:bottom w:val="nil"/>
              <w:left w:val="nil"/>
              <w:right w:val="nil"/>
            </w:tcBorders>
          </w:tcPr>
          <w:p>
            <w:pPr>
              <w:jc w:val="left"/>
            </w:pPr>
            <w:r/>
            <w:r>
              <w:rPr>
                <w:rFonts w:ascii="Times New Roman" w:hAnsi="Times New Roman" w:eastAsia="Times New Roman"/>
                <w:b w:val="0"/>
                <w:i w:val="0"/>
                <w:sz w:val="17"/>
              </w:rPr>
              <w:t>Softmax input fixed-point scale</w:t>
            </w:r>
          </w:p>
        </w:tc>
      </w:tr>
      <w:tr>
        <w:trPr>
          <w:cantSplit/>
        </w:trPr>
        <w:tc>
          <w:tcPr>
            <w:tcW w:type="dxa" w:w="648"/>
            <w:tcBorders>
              <w:top w:val="nil"/>
              <w:bottom w:val="nil"/>
              <w:left w:val="nil"/>
              <w:right w:val="nil"/>
            </w:tcBorders>
          </w:tcPr>
          <w:p>
            <w:pPr>
              <w:jc w:val="center"/>
            </w:pPr>
            <w:r/>
            <w:r>
              <w:rPr>
                <w:rFonts w:ascii="Times New Roman" w:hAnsi="Times New Roman" w:eastAsia="Times New Roman"/>
                <w:b w:val="0"/>
                <w:i w:val="0"/>
                <w:sz w:val="17"/>
              </w:rPr>
              <w:t>0x14</w:t>
            </w:r>
          </w:p>
        </w:tc>
        <w:tc>
          <w:tcPr>
            <w:tcW w:type="dxa" w:w="1656"/>
            <w:tcBorders>
              <w:top w:val="nil"/>
              <w:bottom w:val="nil"/>
              <w:left w:val="nil"/>
              <w:right w:val="nil"/>
            </w:tcBorders>
          </w:tcPr>
          <w:p>
            <w:pPr>
              <w:jc w:val="left"/>
            </w:pPr>
            <w:r/>
            <w:r>
              <w:rPr>
                <w:rFonts w:ascii="Times New Roman" w:hAnsi="Times New Roman" w:eastAsia="Times New Roman"/>
                <w:b w:val="0"/>
                <w:i w:val="0"/>
                <w:sz w:val="17"/>
              </w:rPr>
              <w:t>softmax_scale_out</w:t>
            </w:r>
          </w:p>
        </w:tc>
        <w:tc>
          <w:tcPr>
            <w:tcW w:type="dxa" w:w="792"/>
            <w:tcBorders>
              <w:top w:val="nil"/>
              <w:bottom w:val="nil"/>
              <w:left w:val="nil"/>
              <w:right w:val="nil"/>
            </w:tcBorders>
          </w:tcPr>
          <w:p>
            <w:pPr>
              <w:jc w:val="center"/>
            </w:pPr>
            <w:r/>
            <w:r>
              <w:rPr>
                <w:rFonts w:ascii="Times New Roman" w:hAnsi="Times New Roman" w:eastAsia="Times New Roman"/>
                <w:b w:val="0"/>
                <w:i w:val="0"/>
                <w:sz w:val="17"/>
              </w:rPr>
              <w:t>4</w:t>
            </w:r>
          </w:p>
        </w:tc>
        <w:tc>
          <w:tcPr>
            <w:tcW w:type="dxa" w:w="504"/>
            <w:tcBorders>
              <w:top w:val="nil"/>
              <w:bottom w:val="nil"/>
              <w:left w:val="nil"/>
              <w:right w:val="nil"/>
            </w:tcBorders>
          </w:tcPr>
          <w:p>
            <w:pPr>
              <w:jc w:val="center"/>
            </w:pPr>
            <w:r/>
            <w:r>
              <w:rPr>
                <w:rFonts w:ascii="Times New Roman" w:hAnsi="Times New Roman" w:eastAsia="Times New Roman"/>
                <w:b w:val="0"/>
                <w:i w:val="0"/>
                <w:sz w:val="17"/>
              </w:rPr>
              <w:t>RW</w:t>
            </w:r>
          </w:p>
        </w:tc>
        <w:tc>
          <w:tcPr>
            <w:tcW w:type="dxa" w:w="1512"/>
            <w:tcBorders>
              <w:top w:val="nil"/>
              <w:bottom w:val="nil"/>
              <w:left w:val="nil"/>
              <w:right w:val="nil"/>
            </w:tcBorders>
          </w:tcPr>
          <w:p>
            <w:pPr>
              <w:jc w:val="left"/>
            </w:pPr>
            <w:r/>
            <w:r>
              <w:rPr>
                <w:rFonts w:ascii="Times New Roman" w:hAnsi="Times New Roman" w:eastAsia="Times New Roman"/>
                <w:b w:val="0"/>
                <w:i w:val="0"/>
                <w:sz w:val="17"/>
              </w:rPr>
              <w:t>Softmax output scale (= gelu_scale, App. A.3)</w:t>
            </w:r>
          </w:p>
        </w:tc>
      </w:tr>
      <w:tr>
        <w:trPr>
          <w:cantSplit/>
        </w:trPr>
        <w:tc>
          <w:tcPr>
            <w:tcW w:type="dxa" w:w="648"/>
            <w:tcBorders>
              <w:top w:val="nil"/>
              <w:bottom w:val="nil"/>
              <w:left w:val="nil"/>
              <w:right w:val="nil"/>
            </w:tcBorders>
          </w:tcPr>
          <w:p>
            <w:pPr>
              <w:jc w:val="center"/>
            </w:pPr>
            <w:r/>
            <w:r>
              <w:rPr>
                <w:rFonts w:ascii="Times New Roman" w:hAnsi="Times New Roman" w:eastAsia="Times New Roman"/>
                <w:b w:val="0"/>
                <w:i w:val="0"/>
                <w:sz w:val="17"/>
              </w:rPr>
              <w:t>0x18</w:t>
            </w:r>
          </w:p>
        </w:tc>
        <w:tc>
          <w:tcPr>
            <w:tcW w:type="dxa" w:w="1656"/>
            <w:tcBorders>
              <w:top w:val="nil"/>
              <w:bottom w:val="nil"/>
              <w:left w:val="nil"/>
              <w:right w:val="nil"/>
            </w:tcBorders>
          </w:tcPr>
          <w:p>
            <w:pPr>
              <w:jc w:val="left"/>
            </w:pPr>
            <w:r/>
            <w:r>
              <w:rPr>
                <w:rFonts w:ascii="Times New Roman" w:hAnsi="Times New Roman" w:eastAsia="Times New Roman"/>
                <w:b w:val="0"/>
                <w:i w:val="0"/>
                <w:sz w:val="17"/>
              </w:rPr>
              <w:t>gelu_scale</w:t>
            </w:r>
          </w:p>
        </w:tc>
        <w:tc>
          <w:tcPr>
            <w:tcW w:type="dxa" w:w="792"/>
            <w:tcBorders>
              <w:top w:val="nil"/>
              <w:bottom w:val="nil"/>
              <w:left w:val="nil"/>
              <w:right w:val="nil"/>
            </w:tcBorders>
          </w:tcPr>
          <w:p>
            <w:pPr>
              <w:jc w:val="center"/>
            </w:pPr>
            <w:r/>
            <w:r>
              <w:rPr>
                <w:rFonts w:ascii="Times New Roman" w:hAnsi="Times New Roman" w:eastAsia="Times New Roman"/>
                <w:b w:val="0"/>
                <w:i w:val="0"/>
                <w:sz w:val="17"/>
              </w:rPr>
              <w:t>4</w:t>
            </w:r>
          </w:p>
        </w:tc>
        <w:tc>
          <w:tcPr>
            <w:tcW w:type="dxa" w:w="504"/>
            <w:tcBorders>
              <w:top w:val="nil"/>
              <w:bottom w:val="nil"/>
              <w:left w:val="nil"/>
              <w:right w:val="nil"/>
            </w:tcBorders>
          </w:tcPr>
          <w:p>
            <w:pPr>
              <w:jc w:val="center"/>
            </w:pPr>
            <w:r/>
            <w:r>
              <w:rPr>
                <w:rFonts w:ascii="Times New Roman" w:hAnsi="Times New Roman" w:eastAsia="Times New Roman"/>
                <w:b w:val="0"/>
                <w:i w:val="0"/>
                <w:sz w:val="17"/>
              </w:rPr>
              <w:t>RW</w:t>
            </w:r>
          </w:p>
        </w:tc>
        <w:tc>
          <w:tcPr>
            <w:tcW w:type="dxa" w:w="1512"/>
            <w:tcBorders>
              <w:top w:val="nil"/>
              <w:bottom w:val="nil"/>
              <w:left w:val="nil"/>
              <w:right w:val="nil"/>
            </w:tcBorders>
          </w:tcPr>
          <w:p>
            <w:pPr>
              <w:jc w:val="left"/>
            </w:pPr>
            <w:r/>
            <w:r>
              <w:rPr>
                <w:rFonts w:ascii="Times New Roman" w:hAnsi="Times New Roman" w:eastAsia="Times New Roman"/>
                <w:b w:val="0"/>
                <w:i w:val="0"/>
                <w:sz w:val="17"/>
              </w:rPr>
              <w:t>GELU input/output fixed-point scale</w:t>
            </w:r>
          </w:p>
        </w:tc>
      </w:tr>
      <w:tr>
        <w:trPr>
          <w:cantSplit/>
        </w:trPr>
        <w:tc>
          <w:tcPr>
            <w:tcW w:type="dxa" w:w="648"/>
            <w:tcBorders>
              <w:top w:val="nil"/>
              <w:bottom w:val="single" w:sz="8" w:space="0" w:color="0B0B0B"/>
              <w:left w:val="nil"/>
              <w:right w:val="nil"/>
            </w:tcBorders>
          </w:tcPr>
          <w:p>
            <w:pPr>
              <w:jc w:val="center"/>
            </w:pPr>
            <w:r/>
            <w:r>
              <w:rPr>
                <w:rFonts w:ascii="Times New Roman" w:hAnsi="Times New Roman" w:eastAsia="Times New Roman"/>
                <w:b w:val="0"/>
                <w:i w:val="0"/>
                <w:sz w:val="17"/>
              </w:rPr>
              <w:t>0x1C</w:t>
            </w:r>
          </w:p>
        </w:tc>
        <w:tc>
          <w:tcPr>
            <w:tcW w:type="dxa" w:w="1656"/>
            <w:tcBorders>
              <w:top w:val="nil"/>
              <w:bottom w:val="single" w:sz="8" w:space="0" w:color="0B0B0B"/>
              <w:left w:val="nil"/>
              <w:right w:val="nil"/>
            </w:tcBorders>
          </w:tcPr>
          <w:p>
            <w:pPr>
              <w:jc w:val="left"/>
            </w:pPr>
            <w:r/>
            <w:r>
              <w:rPr>
                <w:rFonts w:ascii="Times New Roman" w:hAnsi="Times New Roman" w:eastAsia="Times New Roman"/>
                <w:b w:val="0"/>
                <w:i w:val="0"/>
                <w:sz w:val="17"/>
              </w:rPr>
              <w:t>status</w:t>
            </w:r>
          </w:p>
        </w:tc>
        <w:tc>
          <w:tcPr>
            <w:tcW w:type="dxa" w:w="792"/>
            <w:tcBorders>
              <w:top w:val="nil"/>
              <w:bottom w:val="single" w:sz="8" w:space="0" w:color="0B0B0B"/>
              <w:left w:val="nil"/>
              <w:right w:val="nil"/>
            </w:tcBorders>
          </w:tcPr>
          <w:p>
            <w:pPr>
              <w:jc w:val="center"/>
            </w:pPr>
            <w:r/>
            <w:r>
              <w:rPr>
                <w:rFonts w:ascii="Times New Roman" w:hAnsi="Times New Roman" w:eastAsia="Times New Roman"/>
                <w:b w:val="0"/>
                <w:i w:val="0"/>
                <w:sz w:val="17"/>
              </w:rPr>
              <w:t>1</w:t>
            </w:r>
          </w:p>
        </w:tc>
        <w:tc>
          <w:tcPr>
            <w:tcW w:type="dxa" w:w="504"/>
            <w:tcBorders>
              <w:top w:val="nil"/>
              <w:bottom w:val="single" w:sz="8" w:space="0" w:color="0B0B0B"/>
              <w:left w:val="nil"/>
              <w:right w:val="nil"/>
            </w:tcBorders>
          </w:tcPr>
          <w:p>
            <w:pPr>
              <w:jc w:val="center"/>
            </w:pPr>
            <w:r/>
            <w:r>
              <w:rPr>
                <w:rFonts w:ascii="Times New Roman" w:hAnsi="Times New Roman" w:eastAsia="Times New Roman"/>
                <w:b w:val="0"/>
                <w:i w:val="0"/>
                <w:sz w:val="17"/>
              </w:rPr>
              <w:t>RO</w:t>
            </w:r>
          </w:p>
        </w:tc>
        <w:tc>
          <w:tcPr>
            <w:tcW w:type="dxa" w:w="1512"/>
            <w:tcBorders>
              <w:top w:val="nil"/>
              <w:bottom w:val="single" w:sz="8" w:space="0" w:color="0B0B0B"/>
              <w:left w:val="nil"/>
              <w:right w:val="nil"/>
            </w:tcBorders>
          </w:tcPr>
          <w:p>
            <w:pPr>
              <w:jc w:val="left"/>
            </w:pPr>
            <w:r/>
            <w:r>
              <w:rPr>
                <w:rFonts w:ascii="Times New Roman" w:hAnsi="Times New Roman" w:eastAsia="Times New Roman"/>
                <w:b w:val="0"/>
                <w:i w:val="0"/>
                <w:sz w:val="17"/>
              </w:rPr>
              <w:t>bit0 = softmax_to_gelu_fifo_overflow (live, not latched)</w:t>
            </w:r>
          </w:p>
        </w:tc>
      </w:tr>
    </w:tbl>
    <w:p>
      <w:pPr>
        <w:spacing w:after="160"/>
      </w:pPr>
    </w:p>
    <w:p>
      <w:pPr>
        <w:spacing w:before="160" w:after="80"/>
      </w:pPr>
      <w:r>
        <w:rPr>
          <w:rFonts w:ascii="Times New Roman" w:hAnsi="Times New Roman" w:eastAsia="Times New Roman"/>
          <w:b/>
          <w:i/>
          <w:sz w:val="20"/>
        </w:rPr>
        <w:t>B. Physical Adaptations for Board Deployment</w:t>
      </w:r>
    </w:p>
    <w:p>
      <w:pPr>
        <w:spacing w:before="0" w:after="120"/>
        <w:ind w:firstLine="288"/>
        <w:jc w:val="both"/>
      </w:pPr>
      <w:r>
        <w:rPr>
          <w:rFonts w:ascii="Times New Roman" w:hAnsi="Times New Roman" w:eastAsia="Times New Roman"/>
          <w:b w:val="0"/>
          <w:i w:val="0"/>
          <w:sz w:val="20"/>
        </w:rPr>
        <w:t>Integration surfaced two categories of adaptation beyond the standalone core. First, a synthesis-time design rule check flagged over 40 instances of block-RAM control logic driven by asynchronously reset registers inside the input/output buffers — a pattern Xilinx's own methodology documentation warns can corrupt memory contents outside static timing analysis' visibility. This was resolved across twelve RTL files by converting every affected sensitivity list from asynchronous to synchronous reset (Appendix A.5 gives the full three-round root-cause chase). Second, bridging the array's A_size-wide parallel datapath to Softmax's serial, one-scalar-per-cycle interface (and back to GELU's narrower parallel lanes) required bespoke AXI4-Stream width converters and a purpose-built row-boundary signal, since the matmul core's own frame-completion signal marks only the end of the entire matrix, not each row — the same integration phase that first revealed the full pipeline had never actually been AXI-wrapped (Appendix A.6), following the parameter-audit discipline established against the adopted integration script (Appendix A.4).</w:t>
      </w:r>
    </w:p>
    <w:p>
      <w:pPr>
        <w:spacing w:before="160" w:after="80"/>
      </w:pPr>
      <w:r>
        <w:rPr>
          <w:rFonts w:ascii="Times New Roman" w:hAnsi="Times New Roman" w:eastAsia="Times New Roman"/>
          <w:b/>
          <w:i/>
          <w:sz w:val="20"/>
        </w:rPr>
        <w:t>C. Software Infrastructure for Hardware Bring-Up</w:t>
      </w:r>
    </w:p>
    <w:p>
      <w:pPr>
        <w:spacing w:before="0" w:after="120"/>
        <w:ind w:firstLine="288"/>
        <w:jc w:val="both"/>
      </w:pPr>
      <w:r>
        <w:rPr>
          <w:rFonts w:ascii="Times New Roman" w:hAnsi="Times New Roman" w:eastAsia="Times New Roman"/>
          <w:b w:val="0"/>
          <w:i w:val="0"/>
          <w:sz w:val="20"/>
        </w:rPr>
        <w:t>To extend the tolerance-bounded methodology of Section III to physical silicon, the SystemVerilog golden references were ported to a bit-faithful Python/NumPy implementation, cross-checked against the RTL shifter's exact rounding behavior rather than assumed equivalent, and used to validate hardware output read back over the board's PYNQ Python driver.</w:t>
      </w:r>
    </w:p>
    <w:p>
      <w:pPr>
        <w:spacing w:before="240" w:after="120"/>
        <w:jc w:val="center"/>
      </w:pPr>
      <w:r>
        <w:rPr>
          <w:rFonts w:ascii="Times New Roman" w:hAnsi="Times New Roman" w:eastAsia="Times New Roman"/>
          <w:b/>
          <w:i w:val="0"/>
          <w:sz w:val="22"/>
        </w:rPr>
        <w:t>V. PHYSICAL IMPLEMENTATION, P&amp;R, AND SIGN-OFF OPTIMIZATIONS</w:t>
      </w:r>
    </w:p>
    <w:p>
      <w:pPr>
        <w:spacing w:before="160" w:after="80"/>
      </w:pPr>
      <w:r>
        <w:rPr>
          <w:rFonts w:ascii="Times New Roman" w:hAnsi="Times New Roman" w:eastAsia="Times New Roman"/>
          <w:b/>
          <w:i/>
          <w:sz w:val="20"/>
        </w:rPr>
        <w:t>A. Baseline Physical Sign-Off</w:t>
      </w:r>
    </w:p>
    <w:p>
      <w:pPr>
        <w:spacing w:before="0" w:after="120"/>
        <w:ind w:firstLine="288"/>
        <w:jc w:val="both"/>
      </w:pPr>
      <w:r>
        <w:rPr>
          <w:rFonts w:ascii="Times New Roman" w:hAnsi="Times New Roman" w:eastAsia="Times New Roman"/>
          <w:b w:val="0"/>
          <w:i w:val="0"/>
          <w:sz w:val="20"/>
        </w:rPr>
        <w:t>The first complete post-route signoff of the full SoC closed timing at the 100 MHz target with a Worst Negative Slack (WNS) of +0.361 ns and a Vivado-estimated total on-chip power of 1.741 W (1.590 W dynamic, 0.151 W static).</w:t>
      </w:r>
    </w:p>
    <w:p>
      <w:pPr>
        <w:spacing w:before="160" w:after="80"/>
      </w:pPr>
      <w:r>
        <w:rPr>
          <w:rFonts w:ascii="Times New Roman" w:hAnsi="Times New Roman" w:eastAsia="Times New Roman"/>
          <w:b/>
          <w:i/>
          <w:sz w:val="20"/>
        </w:rPr>
        <w:t>B. The DSP Inference Gap &amp; Attribute Resolution</w:t>
      </w:r>
    </w:p>
    <w:p>
      <w:pPr>
        <w:spacing w:before="0" w:after="120"/>
        <w:ind w:firstLine="288"/>
        <w:jc w:val="both"/>
      </w:pPr>
      <w:r>
        <w:rPr>
          <w:rFonts w:ascii="Times New Roman" w:hAnsi="Times New Roman" w:eastAsia="Times New Roman"/>
          <w:b w:val="0"/>
          <w:i w:val="0"/>
          <w:sz w:val="20"/>
        </w:rPr>
        <w:t>Post-route utilization at this baseline was LUT-bound rather than DSP-bound: only 13 of 220 available DSP48E1 slices (5.91%) were in use while Slice LUTs sat at 56.91%, despite the 256-MAC systolic array being the design's dominant arithmetic structure — a strong signal that the array's multiply-accumulate operations were being synthesized into general LUT/CARRY4 fabric instead of dedicated DSP hard macros. Root-causing traced this to a synthesis attribute scoped at the wrong granularity relative to Vivado's register-level DSP inference rules (cf. Xilinx UG901 [6]): as Listing 2 shows, attaching use_dsp to the enclosing always block is a silent no-op — synthesis produced byte-identical LUT/DSP/CARRY4 counts regardless of its value — whereas attaching it to the register declaration that actually holds the multiply-accumulate result is what Vivado's inference pass recognizes. Appendix A.7 gives the full investigation, including why this specific attribute-attachment rule is easy to miss from the UG901 text alone.</w:t>
      </w:r>
    </w:p>
    <w:tbl>
      <w:tblPr>
        <w:tblW w:type="auto" w:w="0"/>
        <w:tblLayout w:type="autofit"/>
        <w:tblLook w:firstColumn="1" w:firstRow="1" w:lastColumn="0" w:lastRow="0" w:noHBand="0" w:noVBand="1" w:val="04A0"/>
      </w:tblPr>
      <w:tblGrid>
        <w:gridCol w:w="10540"/>
      </w:tblGrid>
      <w:tr>
        <w:tc>
          <w:tcPr>
            <w:tcW w:type="dxa" w:w="10540"/>
            <w:shd w:val="clear" w:color="auto" w:fill="F2F2F0"/>
            <w:tcBorders>
              <w:top w:val="nil"/>
              <w:bottom w:val="nil"/>
              <w:right w:val="nil"/>
              <w:left w:val="single" w:sz="12" w:space="0" w:color="2A78D6"/>
            </w:tcBorders>
            <w:tcMar>
              <w:top w:w="80" w:type="dxa"/>
              <w:bottom w:w="80" w:type="dxa"/>
              <w:left w:w="100" w:type="dxa"/>
              <w:right w:w="100" w:type="dxa"/>
            </w:tcMar>
          </w:tcPr>
          <w:p>
            <w:pPr>
              <w:spacing w:after="0" w:before="0"/>
            </w:pPr>
            <w:r>
              <w:rPr>
                <w:rFonts w:ascii="Consolas" w:hAnsi="Consolas" w:eastAsia="Consolas"/>
                <w:sz w:val="17"/>
              </w:rPr>
              <w:t>// PE.v -- BEFORE: attribute on the always block (no-op)</w:t>
            </w:r>
          </w:p>
          <w:p>
            <w:pPr>
              <w:spacing w:after="0" w:before="0"/>
            </w:pPr>
            <w:r>
              <w:rPr>
                <w:rFonts w:ascii="Consolas" w:hAnsi="Consolas" w:eastAsia="Consolas"/>
                <w:sz w:val="17"/>
              </w:rPr>
              <w:t>(* use_dsp = "yes" *)</w:t>
            </w:r>
          </w:p>
          <w:p>
            <w:pPr>
              <w:spacing w:after="0" w:before="0"/>
            </w:pPr>
            <w:r>
              <w:rPr>
                <w:rFonts w:ascii="Consolas" w:hAnsi="Consolas" w:eastAsia="Consolas"/>
                <w:sz w:val="17"/>
              </w:rPr>
              <w:t>always @(posedge clk) begin</w:t>
            </w:r>
          </w:p>
          <w:p>
            <w:pPr>
              <w:spacing w:after="0" w:before="0"/>
            </w:pPr>
            <w:r>
              <w:rPr>
                <w:rFonts w:ascii="Consolas" w:hAnsi="Consolas" w:eastAsia="Consolas"/>
                <w:sz w:val="17"/>
              </w:rPr>
              <w:t xml:space="preserve">    psum_out &lt;= psum_in + x_in*reg_w;</w:t>
            </w:r>
          </w:p>
          <w:p>
            <w:pPr>
              <w:spacing w:after="0" w:before="0"/>
            </w:pPr>
            <w:r>
              <w:rPr>
                <w:rFonts w:ascii="Consolas" w:hAnsi="Consolas" w:eastAsia="Consolas"/>
                <w:sz w:val="17"/>
              </w:rPr>
              <w:t>end</w:t>
            </w:r>
          </w:p>
          <w:p>
            <w:pPr>
              <w:spacing w:after="0" w:before="0"/>
            </w:pPr>
            <w:r>
              <w:rPr>
                <w:rFonts w:ascii="Consolas" w:hAnsi="Consolas" w:eastAsia="Consolas"/>
                <w:sz w:val="17"/>
              </w:rPr>
              <w:t xml:space="preserve"> </w:t>
            </w:r>
          </w:p>
          <w:p>
            <w:pPr>
              <w:spacing w:after="0" w:before="0"/>
            </w:pPr>
            <w:r>
              <w:rPr>
                <w:rFonts w:ascii="Consolas" w:hAnsi="Consolas" w:eastAsia="Consolas"/>
                <w:sz w:val="17"/>
              </w:rPr>
              <w:t>// AFTER: attribute on the register declaration (per UG901)</w:t>
            </w:r>
          </w:p>
          <w:p>
            <w:pPr>
              <w:spacing w:after="0" w:before="0"/>
            </w:pPr>
            <w:r>
              <w:rPr>
                <w:rFonts w:ascii="Consolas" w:hAnsi="Consolas" w:eastAsia="Consolas"/>
                <w:sz w:val="17"/>
              </w:rPr>
              <w:t>(* use_dsp = "yes" *) reg signed</w:t>
            </w:r>
          </w:p>
          <w:p>
            <w:pPr>
              <w:spacing w:after="0" w:before="0"/>
            </w:pPr>
            <w:r>
              <w:rPr>
                <w:rFonts w:ascii="Consolas" w:hAnsi="Consolas" w:eastAsia="Consolas"/>
                <w:sz w:val="17"/>
              </w:rPr>
              <w:t xml:space="preserve">    [2*data_width+log2_array_m-1:0] psum_out_r;</w:t>
            </w:r>
          </w:p>
          <w:p>
            <w:pPr>
              <w:spacing w:after="0" w:before="0"/>
            </w:pPr>
            <w:r>
              <w:rPr>
                <w:rFonts w:ascii="Consolas" w:hAnsi="Consolas" w:eastAsia="Consolas"/>
                <w:sz w:val="17"/>
              </w:rPr>
              <w:t>always @(posedge clk)</w:t>
            </w:r>
          </w:p>
          <w:p>
            <w:pPr>
              <w:spacing w:after="0" w:before="0"/>
            </w:pPr>
            <w:r>
              <w:rPr>
                <w:rFonts w:ascii="Consolas" w:hAnsi="Consolas" w:eastAsia="Consolas"/>
                <w:sz w:val="17"/>
              </w:rPr>
              <w:t xml:space="preserve">    psum_out_r &lt;= psum_in + x_in*reg_w;</w:t>
            </w:r>
          </w:p>
        </w:tc>
      </w:tr>
    </w:tbl>
    <w:p>
      <w:pPr>
        <w:spacing w:before="60" w:after="160"/>
        <w:jc w:val="center"/>
      </w:pPr>
      <w:r>
        <w:rPr>
          <w:rFonts w:ascii="Times New Roman" w:hAnsi="Times New Roman" w:eastAsia="Times New Roman"/>
          <w:b/>
          <w:i w:val="0"/>
          <w:sz w:val="18"/>
        </w:rPr>
        <w:t xml:space="preserve">Listing 2. </w:t>
      </w:r>
      <w:r>
        <w:rPr>
          <w:rFonts w:ascii="Times New Roman" w:hAnsi="Times New Roman" w:eastAsia="Times New Roman"/>
          <w:b w:val="0"/>
          <w:i w:val="0"/>
          <w:sz w:val="18"/>
        </w:rPr>
        <w:t>The UG901 DSP-inference attribute-placement fix, PE.v.</w:t>
      </w:r>
    </w:p>
    <w:p>
      <w:pPr>
        <w:spacing w:before="0" w:after="120"/>
        <w:ind w:firstLine="288"/>
        <w:jc w:val="both"/>
      </w:pPr>
      <w:r>
        <w:rPr>
          <w:rFonts w:ascii="Times New Roman" w:hAnsi="Times New Roman" w:eastAsia="Times New Roman"/>
          <w:b w:val="0"/>
          <w:i w:val="0"/>
          <w:sz w:val="20"/>
        </w:rPr>
        <w:t>Correcting the attribute placement alone would map all 256 PEs to DSP48E1 hard macros — more than the xc7z020's 220-slice budget once Softmax and GELU's own arithmetic (≈13 DSPs) is accounted for. PE_array.v therefore parameterizes the split per PE row (NUM_DSP_ROWS = 12 of 16), mapping exactly 192 of 256 PEs to DSP48E1 and leaving the remaining 4 rows (64 PEs) LUT/CARRY4-mapped — a deliberate, budget-sized partial mapping, not an all-or-nothing switch. This reduced full-SoC post-route Slice LUTs by 49.3% (30,276 → 15,363) and CARRY4 primitives by 61.8% (4,874 → 1,862), brought DSP48E1 usage to 205 of 220 (192 from the array plus Softmax/GELU's ≈13), and reduced total on-chip power by 3.1% to 1.687 W.</w:t>
      </w:r>
    </w:p>
    <w:p>
      <w:pPr>
        <w:spacing w:before="160" w:after="80"/>
      </w:pPr>
      <w:r>
        <w:rPr>
          <w:rFonts w:ascii="Times New Roman" w:hAnsi="Times New Roman" w:eastAsia="Times New Roman"/>
          <w:b/>
          <w:i/>
          <w:sz w:val="20"/>
        </w:rPr>
        <w:t>C. Physical Congestion vs. Timing Trade-Off</w:t>
      </w:r>
    </w:p>
    <w:p>
      <w:pPr>
        <w:spacing w:before="0" w:after="120"/>
        <w:ind w:firstLine="288"/>
        <w:jc w:val="both"/>
      </w:pPr>
      <w:r>
        <w:rPr>
          <w:rFonts w:ascii="Times New Roman" w:hAnsi="Times New Roman" w:eastAsia="Times New Roman"/>
          <w:b w:val="0"/>
          <w:i w:val="0"/>
          <w:sz w:val="20"/>
        </w:rPr>
        <w:t>The same fix concentrated 205 of 220 DSP48E1 slices (93.18% of the device's entire DSP column capacity, 15 slices of headroom remaining) into a much denser physical footprint than the previous LUT-diffuse implementation. Post-route WNS correspondingly tightened from +0.361 ns to +0.293 ns (≈19% less margin, timing still met) — an expected, explicitly-anticipated trade-off between area/power efficiency and routing congestion around a densely packed DSP column, not a regression.</w:t>
      </w:r>
    </w:p>
    <w:tbl>
      <w:tblPr>
        <w:tblW w:type="auto" w:w="0"/>
        <w:tblLayout w:type="autofit"/>
        <w:tblLook w:firstColumn="1" w:firstRow="1" w:lastColumn="0" w:lastRow="0" w:noHBand="0" w:noVBand="1" w:val="04A0"/>
      </w:tblPr>
      <w:tblGrid>
        <w:gridCol w:w="10540"/>
      </w:tblGrid>
      <w:tr>
        <w:tc>
          <w:tcPr>
            <w:tcW w:type="dxa" w:w="10540"/>
            <w:shd w:val="clear" w:color="auto" w:fill="FBF3E6"/>
            <w:tcBorders>
              <w:top w:val="single" w:sz="10" w:space="0" w:color="C9A25A"/>
              <w:left w:val="single" w:sz="10" w:space="0" w:color="C9A25A"/>
              <w:bottom w:val="single" w:sz="10" w:space="0" w:color="C9A25A"/>
              <w:right w:val="single" w:sz="10" w:space="0" w:color="C9A25A"/>
            </w:tcBorders>
            <w:tcMar>
              <w:top w:w="100" w:type="dxa"/>
              <w:bottom w:w="100" w:type="dxa"/>
              <w:left w:w="120" w:type="dxa"/>
              <w:right w:w="120" w:type="dxa"/>
            </w:tcMar>
          </w:tcPr>
          <w:p>
            <w:pPr>
              <w:spacing w:after="0"/>
              <w:jc w:val="center"/>
            </w:pPr>
            <w:r>
              <w:rPr>
                <w:rFonts w:ascii="Times New Roman" w:hAnsi="Times New Roman" w:eastAsia="Times New Roman"/>
                <w:b w:val="0"/>
                <w:i/>
                <w:color w:val="8A631C"/>
                <w:sz w:val="17"/>
              </w:rPr>
              <w:t>[Figure Placeholder: Vivado Device View / Floorplan — Illustrating physical DSP48E1 column clustering (205/220 slices, 93.18% utilization) and dense local interconnect routing explaining the WNS trade-off (+0.293 ns). Not included: this session has no saved screenshot from the actual signed-off Vivado run to insert here honestly; a real capture (Device window, DSP48E1 primitive filter highlighted) should replace this box before final submission.]</w:t>
            </w:r>
          </w:p>
        </w:tc>
      </w:tr>
    </w:tbl>
    <w:p>
      <w:pPr>
        <w:spacing w:after="160"/>
      </w:pPr>
    </w:p>
    <w:p>
      <w:pPr>
        <w:spacing w:before="160" w:after="80"/>
      </w:pPr>
      <w:r>
        <w:rPr>
          <w:rFonts w:ascii="Times New Roman" w:hAnsi="Times New Roman" w:eastAsia="Times New Roman"/>
          <w:b/>
          <w:i/>
          <w:sz w:val="20"/>
        </w:rPr>
        <w:t>D. Bitstream &amp; Hardware Platform Sign-Off</w:t>
      </w:r>
    </w:p>
    <w:p>
      <w:pPr>
        <w:spacing w:before="0" w:after="120"/>
        <w:ind w:firstLine="288"/>
        <w:jc w:val="both"/>
      </w:pPr>
      <w:r>
        <w:rPr>
          <w:rFonts w:ascii="Times New Roman" w:hAnsi="Times New Roman" w:eastAsia="Times New Roman"/>
          <w:b w:val="0"/>
          <w:i w:val="0"/>
          <w:sz w:val="20"/>
        </w:rPr>
        <w:t>The signed-off, DSP-corrected checkpoint passed pre-bitstream design rule checking with zero errors and generated a bitstream with zero warnings and zero critical warnings, exported as design.bit and a fixed hardware platform archive (design.xsa) for downstream software and PYNQ deployment.</w:t>
      </w:r>
    </w:p>
    <w:p>
      <w:pPr>
        <w:spacing w:before="120" w:after="40"/>
        <w:jc w:val="center"/>
      </w:pPr>
      <w:r>
        <w:rPr>
          <w:rFonts w:ascii="Times New Roman" w:hAnsi="Times New Roman" w:eastAsia="Times New Roman"/>
          <w:b w:val="0"/>
          <w:i w:val="0"/>
          <w:sz w:val="18"/>
        </w:rPr>
        <w:t>TABLE II. POST-ROUTE SIGNOFF METRICS, BEFORE/AFTER THE DSP-INFERENCE FIX</w:t>
      </w:r>
    </w:p>
    <w:tbl>
      <w:tblPr>
        <w:tblW w:type="auto" w:w="0"/>
        <w:tblLook w:firstColumn="1" w:firstRow="1" w:lastColumn="0" w:lastRow="0" w:noHBand="0" w:noVBand="1" w:val="04A0"/>
      </w:tblPr>
      <w:tblGrid>
        <w:gridCol w:w="2635"/>
        <w:gridCol w:w="2635"/>
        <w:gridCol w:w="2635"/>
        <w:gridCol w:w="2635"/>
      </w:tblGrid>
      <w:tr>
        <w:trPr>
          <w:cantSplit/>
        </w:trPr>
        <w:tc>
          <w:tcPr>
            <w:tcW w:type="dxa" w:w="2635"/>
            <w:tcBorders>
              <w:top w:val="single" w:sz="8" w:space="0" w:color="0B0B0B"/>
              <w:bottom w:val="single" w:sz="6" w:space="0" w:color="0B0B0B"/>
              <w:left w:val="nil"/>
              <w:right w:val="nil"/>
            </w:tcBorders>
          </w:tcPr>
          <w:p>
            <w:pPr>
              <w:jc w:val="left"/>
            </w:pPr>
            <w:r/>
            <w:r>
              <w:rPr>
                <w:rFonts w:ascii="Times New Roman" w:hAnsi="Times New Roman" w:eastAsia="Times New Roman"/>
                <w:b/>
                <w:i w:val="0"/>
                <w:sz w:val="17"/>
              </w:rPr>
              <w:t>Metric</w:t>
            </w:r>
          </w:p>
        </w:tc>
        <w:tc>
          <w:tcPr>
            <w:tcW w:type="dxa" w:w="2635"/>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Before fix</w:t>
            </w:r>
          </w:p>
        </w:tc>
        <w:tc>
          <w:tcPr>
            <w:tcW w:type="dxa" w:w="2635"/>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After fix</w:t>
            </w:r>
          </w:p>
        </w:tc>
        <w:tc>
          <w:tcPr>
            <w:tcW w:type="dxa" w:w="2635"/>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Δ</w:t>
            </w:r>
          </w:p>
        </w:tc>
      </w:tr>
      <w:tr>
        <w:trPr>
          <w:cantSplit/>
        </w:trPr>
        <w:tc>
          <w:tcPr>
            <w:tcW w:type="dxa" w:w="2635"/>
            <w:tcBorders>
              <w:top w:val="nil"/>
              <w:bottom w:val="nil"/>
              <w:left w:val="nil"/>
              <w:right w:val="nil"/>
            </w:tcBorders>
          </w:tcPr>
          <w:p>
            <w:pPr>
              <w:jc w:val="left"/>
            </w:pPr>
            <w:r/>
            <w:r>
              <w:rPr>
                <w:rFonts w:ascii="Times New Roman" w:hAnsi="Times New Roman" w:eastAsia="Times New Roman"/>
                <w:b w:val="0"/>
                <w:i w:val="0"/>
                <w:sz w:val="17"/>
              </w:rPr>
              <w:t>Slice LUTs (post-route, full SoC)</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30,276 / 53,200 (56.91%)</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15,363 / 53,200 (28.88%)</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−49.3%</w:t>
            </w:r>
          </w:p>
        </w:tc>
      </w:tr>
      <w:tr>
        <w:trPr>
          <w:cantSplit/>
        </w:trPr>
        <w:tc>
          <w:tcPr>
            <w:tcW w:type="dxa" w:w="2635"/>
            <w:tcBorders>
              <w:top w:val="nil"/>
              <w:bottom w:val="nil"/>
              <w:left w:val="nil"/>
              <w:right w:val="nil"/>
            </w:tcBorders>
          </w:tcPr>
          <w:p>
            <w:pPr>
              <w:jc w:val="left"/>
            </w:pPr>
            <w:r/>
            <w:r>
              <w:rPr>
                <w:rFonts w:ascii="Times New Roman" w:hAnsi="Times New Roman" w:eastAsia="Times New Roman"/>
                <w:b w:val="0"/>
                <w:i w:val="0"/>
                <w:sz w:val="17"/>
              </w:rPr>
              <w:t>CARRY4 (post-route, full SoC)</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4,874 / 13,300</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1,862 / 13,300</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−61.8%</w:t>
            </w:r>
          </w:p>
        </w:tc>
      </w:tr>
      <w:tr>
        <w:trPr>
          <w:cantSplit/>
        </w:trPr>
        <w:tc>
          <w:tcPr>
            <w:tcW w:type="dxa" w:w="2635"/>
            <w:tcBorders>
              <w:top w:val="nil"/>
              <w:bottom w:val="nil"/>
              <w:left w:val="nil"/>
              <w:right w:val="nil"/>
            </w:tcBorders>
          </w:tcPr>
          <w:p>
            <w:pPr>
              <w:jc w:val="left"/>
            </w:pPr>
            <w:r/>
            <w:r>
              <w:rPr>
                <w:rFonts w:ascii="Times New Roman" w:hAnsi="Times New Roman" w:eastAsia="Times New Roman"/>
                <w:b w:val="0"/>
                <w:i w:val="0"/>
                <w:sz w:val="17"/>
              </w:rPr>
              <w:t>DSP48E1</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13 / 220 (5.91%)</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205 / 220 (93.18%)</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+192</w:t>
            </w:r>
          </w:p>
        </w:tc>
      </w:tr>
      <w:tr>
        <w:trPr>
          <w:cantSplit/>
        </w:trPr>
        <w:tc>
          <w:tcPr>
            <w:tcW w:type="dxa" w:w="2635"/>
            <w:tcBorders>
              <w:top w:val="nil"/>
              <w:bottom w:val="nil"/>
              <w:left w:val="nil"/>
              <w:right w:val="nil"/>
            </w:tcBorders>
          </w:tcPr>
          <w:p>
            <w:pPr>
              <w:jc w:val="left"/>
            </w:pPr>
            <w:r/>
            <w:r>
              <w:rPr>
                <w:rFonts w:ascii="Times New Roman" w:hAnsi="Times New Roman" w:eastAsia="Times New Roman"/>
                <w:b w:val="0"/>
                <w:i w:val="0"/>
                <w:sz w:val="17"/>
              </w:rPr>
              <w:t>WNS @ 100 MHz</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+0.361 ns</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+0.293 ns</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−19% margin</w:t>
            </w:r>
          </w:p>
        </w:tc>
      </w:tr>
      <w:tr>
        <w:trPr>
          <w:cantSplit/>
        </w:trPr>
        <w:tc>
          <w:tcPr>
            <w:tcW w:type="dxa" w:w="2635"/>
            <w:tcBorders>
              <w:top w:val="nil"/>
              <w:bottom w:val="single" w:sz="8" w:space="0" w:color="0B0B0B"/>
              <w:left w:val="nil"/>
              <w:right w:val="nil"/>
            </w:tcBorders>
          </w:tcPr>
          <w:p>
            <w:pPr>
              <w:jc w:val="left"/>
            </w:pPr>
            <w:r/>
            <w:r>
              <w:rPr>
                <w:rFonts w:ascii="Times New Roman" w:hAnsi="Times New Roman" w:eastAsia="Times New Roman"/>
                <w:b w:val="0"/>
                <w:i w:val="0"/>
                <w:sz w:val="17"/>
              </w:rPr>
              <w:t>Total on-chip power</w:t>
            </w:r>
          </w:p>
        </w:tc>
        <w:tc>
          <w:tcPr>
            <w:tcW w:type="dxa" w:w="2635"/>
            <w:tcBorders>
              <w:top w:val="nil"/>
              <w:bottom w:val="single" w:sz="8" w:space="0" w:color="0B0B0B"/>
              <w:left w:val="nil"/>
              <w:right w:val="nil"/>
            </w:tcBorders>
          </w:tcPr>
          <w:p>
            <w:pPr>
              <w:jc w:val="center"/>
            </w:pPr>
            <w:r/>
            <w:r>
              <w:rPr>
                <w:rFonts w:ascii="Times New Roman" w:hAnsi="Times New Roman" w:eastAsia="Times New Roman"/>
                <w:b w:val="0"/>
                <w:i w:val="0"/>
                <w:sz w:val="17"/>
              </w:rPr>
              <w:t>1.741 W</w:t>
            </w:r>
          </w:p>
        </w:tc>
        <w:tc>
          <w:tcPr>
            <w:tcW w:type="dxa" w:w="2635"/>
            <w:tcBorders>
              <w:top w:val="nil"/>
              <w:bottom w:val="single" w:sz="8" w:space="0" w:color="0B0B0B"/>
              <w:left w:val="nil"/>
              <w:right w:val="nil"/>
            </w:tcBorders>
          </w:tcPr>
          <w:p>
            <w:pPr>
              <w:jc w:val="center"/>
            </w:pPr>
            <w:r/>
            <w:r>
              <w:rPr>
                <w:rFonts w:ascii="Times New Roman" w:hAnsi="Times New Roman" w:eastAsia="Times New Roman"/>
                <w:b w:val="0"/>
                <w:i w:val="0"/>
                <w:sz w:val="17"/>
              </w:rPr>
              <w:t>1.687 W</w:t>
            </w:r>
          </w:p>
        </w:tc>
        <w:tc>
          <w:tcPr>
            <w:tcW w:type="dxa" w:w="2635"/>
            <w:tcBorders>
              <w:top w:val="nil"/>
              <w:bottom w:val="single" w:sz="8" w:space="0" w:color="0B0B0B"/>
              <w:left w:val="nil"/>
              <w:right w:val="nil"/>
            </w:tcBorders>
          </w:tcPr>
          <w:p>
            <w:pPr>
              <w:jc w:val="center"/>
            </w:pPr>
            <w:r/>
            <w:r>
              <w:rPr>
                <w:rFonts w:ascii="Times New Roman" w:hAnsi="Times New Roman" w:eastAsia="Times New Roman"/>
                <w:b w:val="0"/>
                <w:i w:val="0"/>
                <w:sz w:val="17"/>
              </w:rPr>
              <w:t>−3.1%</w:t>
            </w:r>
          </w:p>
        </w:tc>
      </w:tr>
    </w:tbl>
    <w:p>
      <w:pPr>
        <w:spacing w:after="160"/>
      </w:pPr>
    </w:p>
    <w:p>
      <w:pPr>
        <w:spacing w:before="240" w:after="120"/>
        <w:jc w:val="center"/>
      </w:pPr>
      <w:r>
        <w:rPr>
          <w:rFonts w:ascii="Times New Roman" w:hAnsi="Times New Roman" w:eastAsia="Times New Roman"/>
          <w:b/>
          <w:i w:val="0"/>
          <w:sz w:val="22"/>
        </w:rPr>
        <w:t>VI. EXPERIMENTAL EVALUATION &amp; HARDWARE BRING-UP</w:t>
      </w:r>
    </w:p>
    <w:p>
      <w:pPr>
        <w:spacing w:before="160" w:after="80"/>
      </w:pPr>
      <w:r>
        <w:rPr>
          <w:rFonts w:ascii="Times New Roman" w:hAnsi="Times New Roman" w:eastAsia="Times New Roman"/>
          <w:b/>
          <w:i/>
          <w:sz w:val="20"/>
        </w:rPr>
        <w:t>A. Benchmarking Methodology</w:t>
      </w:r>
    </w:p>
    <w:p>
      <w:pPr>
        <w:spacing w:before="0" w:after="120"/>
        <w:ind w:firstLine="288"/>
        <w:jc w:val="both"/>
      </w:pPr>
      <w:r>
        <w:rPr>
          <w:rFonts w:ascii="Times New Roman" w:hAnsi="Times New Roman" w:eastAsia="Times New Roman"/>
          <w:b w:val="0"/>
          <w:i w:val="0"/>
          <w:sz w:val="20"/>
        </w:rPr>
        <w:t>Hardware kernel throughput was benchmarked on the physical PYNQ-Z2 against two matrix shapes representative of ViT-Tiny's real layer dimensions (embedding dimension 192, sequence length 197): a 192×192 projection-sized kernel and a 192×320 MLP-shaped kernel, each compared against an equivalent computation of the identical fused matmul-Softmax-GELU operation executed on the board's ARM Cortex-A9.</w:t>
      </w:r>
    </w:p>
    <w:p>
      <w:pPr>
        <w:spacing w:before="160" w:after="80"/>
      </w:pPr>
      <w:r>
        <w:rPr>
          <w:rFonts w:ascii="Times New Roman" w:hAnsi="Times New Roman" w:eastAsia="Times New Roman"/>
          <w:b/>
          <w:i/>
          <w:sz w:val="20"/>
        </w:rPr>
        <w:t>B. Performance Metrics &amp; Acceleration</w:t>
      </w:r>
    </w:p>
    <w:p>
      <w:pPr>
        <w:spacing w:before="0" w:after="120"/>
        <w:ind w:firstLine="288"/>
        <w:jc w:val="both"/>
      </w:pPr>
      <w:r>
        <w:rPr>
          <w:rFonts w:ascii="Times New Roman" w:hAnsi="Times New Roman" w:eastAsia="Times New Roman"/>
          <w:b w:val="0"/>
          <w:i w:val="0"/>
          <w:sz w:val="20"/>
        </w:rPr>
        <w:t>The hardware kernel achieved 2.487 GOP/s and 3.795 GOP/s on the two benchmarked shapes respectively, against 0.036 and 0.039 GOP/s on the CPU — measured speedups of 70.02× and 97.73× for the identical operation. At the 3.795 GOP/s peak (192×320, MLP-shaped kernel), against the post-route signoff power figures of Table II (1.687 W total on-chip, 1.538 W dynamic), the design achieves a total energy efficiency of 2.25 GOPS/W and a dynamic energy efficiency of 2.47 GOPS/W. These efficiency figures combine a live-measured kernel throughput with Vivado's post-route, activity-based power estimate for the full SoC design — not a physically instrumented power reading synchronized to the benchmark run itself — and should be read as a signoff-grade estimate accordingly. Figs. 5–7 present latency, throughput, and speedup for both shapes.</w:t>
      </w:r>
    </w:p>
    <w:p>
      <w:pPr>
        <w:spacing w:before="120"/>
        <w:jc w:val="center"/>
      </w:pPr>
      <w:r>
        <w:drawing>
          <wp:inline xmlns:a="http://schemas.openxmlformats.org/drawingml/2006/main" xmlns:pic="http://schemas.openxmlformats.org/drawingml/2006/picture">
            <wp:extent cx="3108960" cy="1986280"/>
            <wp:docPr id="5" name="Picture 5"/>
            <wp:cNvGraphicFramePr>
              <a:graphicFrameLocks noChangeAspect="1"/>
            </wp:cNvGraphicFramePr>
            <a:graphic>
              <a:graphicData uri="http://schemas.openxmlformats.org/drawingml/2006/picture">
                <pic:pic>
                  <pic:nvPicPr>
                    <pic:cNvPr id="0" name="latency_comparison.png"/>
                    <pic:cNvPicPr/>
                  </pic:nvPicPr>
                  <pic:blipFill>
                    <a:blip r:embed="rId13"/>
                    <a:stretch>
                      <a:fillRect/>
                    </a:stretch>
                  </pic:blipFill>
                  <pic:spPr>
                    <a:xfrm>
                      <a:off x="0" y="0"/>
                      <a:ext cx="3108960" cy="1986280"/>
                    </a:xfrm>
                    <a:prstGeom prst="rect"/>
                  </pic:spPr>
                </pic:pic>
              </a:graphicData>
            </a:graphic>
          </wp:inline>
        </w:drawing>
      </w:r>
    </w:p>
    <w:p>
      <w:pPr>
        <w:spacing w:after="200"/>
        <w:jc w:val="center"/>
      </w:pPr>
      <w:r>
        <w:rPr>
          <w:rFonts w:ascii="Times New Roman" w:hAnsi="Times New Roman" w:eastAsia="Times New Roman"/>
          <w:b w:val="0"/>
          <w:i/>
          <w:sz w:val="18"/>
        </w:rPr>
        <w:t>Fig. 5. Latency, CPU vs. hardware, both benchmarked shapes.</w:t>
      </w:r>
    </w:p>
    <w:p>
      <w:pPr>
        <w:spacing w:before="120"/>
        <w:jc w:val="center"/>
      </w:pPr>
      <w:r>
        <w:drawing>
          <wp:inline xmlns:a="http://schemas.openxmlformats.org/drawingml/2006/main" xmlns:pic="http://schemas.openxmlformats.org/drawingml/2006/picture">
            <wp:extent cx="3108960" cy="1986280"/>
            <wp:docPr id="6" name="Picture 6"/>
            <wp:cNvGraphicFramePr>
              <a:graphicFrameLocks noChangeAspect="1"/>
            </wp:cNvGraphicFramePr>
            <a:graphic>
              <a:graphicData uri="http://schemas.openxmlformats.org/drawingml/2006/picture">
                <pic:pic>
                  <pic:nvPicPr>
                    <pic:cNvPr id="0" name="throughput_comparison.png"/>
                    <pic:cNvPicPr/>
                  </pic:nvPicPr>
                  <pic:blipFill>
                    <a:blip r:embed="rId14"/>
                    <a:stretch>
                      <a:fillRect/>
                    </a:stretch>
                  </pic:blipFill>
                  <pic:spPr>
                    <a:xfrm>
                      <a:off x="0" y="0"/>
                      <a:ext cx="3108960" cy="1986280"/>
                    </a:xfrm>
                    <a:prstGeom prst="rect"/>
                  </pic:spPr>
                </pic:pic>
              </a:graphicData>
            </a:graphic>
          </wp:inline>
        </w:drawing>
      </w:r>
    </w:p>
    <w:p>
      <w:pPr>
        <w:spacing w:after="200"/>
        <w:jc w:val="center"/>
      </w:pPr>
      <w:r>
        <w:rPr>
          <w:rFonts w:ascii="Times New Roman" w:hAnsi="Times New Roman" w:eastAsia="Times New Roman"/>
          <w:b w:val="0"/>
          <w:i/>
          <w:sz w:val="18"/>
        </w:rPr>
        <w:t>Fig. 6. Throughput (GOP/s), CPU vs. hardware, both shapes.</w:t>
      </w:r>
    </w:p>
    <w:p>
      <w:pPr>
        <w:spacing w:before="120"/>
        <w:jc w:val="center"/>
      </w:pPr>
      <w:r>
        <w:drawing>
          <wp:inline xmlns:a="http://schemas.openxmlformats.org/drawingml/2006/main" xmlns:pic="http://schemas.openxmlformats.org/drawingml/2006/picture">
            <wp:extent cx="3108960" cy="1986280"/>
            <wp:docPr id="7" name="Picture 7"/>
            <wp:cNvGraphicFramePr>
              <a:graphicFrameLocks noChangeAspect="1"/>
            </wp:cNvGraphicFramePr>
            <a:graphic>
              <a:graphicData uri="http://schemas.openxmlformats.org/drawingml/2006/picture">
                <pic:pic>
                  <pic:nvPicPr>
                    <pic:cNvPr id="0" name="speedup_factor.png"/>
                    <pic:cNvPicPr/>
                  </pic:nvPicPr>
                  <pic:blipFill>
                    <a:blip r:embed="rId15"/>
                    <a:stretch>
                      <a:fillRect/>
                    </a:stretch>
                  </pic:blipFill>
                  <pic:spPr>
                    <a:xfrm>
                      <a:off x="0" y="0"/>
                      <a:ext cx="3108960" cy="1986280"/>
                    </a:xfrm>
                    <a:prstGeom prst="rect"/>
                  </pic:spPr>
                </pic:pic>
              </a:graphicData>
            </a:graphic>
          </wp:inline>
        </w:drawing>
      </w:r>
    </w:p>
    <w:p>
      <w:pPr>
        <w:spacing w:after="200"/>
        <w:jc w:val="center"/>
      </w:pPr>
      <w:r>
        <w:rPr>
          <w:rFonts w:ascii="Times New Roman" w:hAnsi="Times New Roman" w:eastAsia="Times New Roman"/>
          <w:b w:val="0"/>
          <w:i/>
          <w:sz w:val="18"/>
        </w:rPr>
        <w:t>Fig. 7. Measured hardware kernel speedup over CPU.</w:t>
      </w:r>
    </w:p>
    <w:p>
      <w:pPr>
        <w:spacing w:before="120" w:after="40"/>
        <w:jc w:val="center"/>
      </w:pPr>
      <w:r>
        <w:rPr>
          <w:rFonts w:ascii="Times New Roman" w:hAnsi="Times New Roman" w:eastAsia="Times New Roman"/>
          <w:b w:val="0"/>
          <w:i w:val="0"/>
          <w:sz w:val="18"/>
        </w:rPr>
        <w:t>TABLE III. KERNEL BENCHMARK RESULTS, PYNQ-Z2 vs. ARM CORTEX-A9</w:t>
      </w:r>
    </w:p>
    <w:tbl>
      <w:tblPr>
        <w:tblW w:type="auto" w:w="0"/>
        <w:tblLook w:firstColumn="1" w:firstRow="1" w:lastColumn="0" w:lastRow="0" w:noHBand="0" w:noVBand="1" w:val="04A0"/>
      </w:tblPr>
      <w:tblGrid>
        <w:gridCol w:w="2635"/>
        <w:gridCol w:w="2635"/>
        <w:gridCol w:w="2635"/>
        <w:gridCol w:w="2635"/>
      </w:tblGrid>
      <w:tr>
        <w:trPr>
          <w:cantSplit/>
        </w:trPr>
        <w:tc>
          <w:tcPr>
            <w:tcW w:type="dxa" w:w="2635"/>
            <w:tcBorders>
              <w:top w:val="single" w:sz="8" w:space="0" w:color="0B0B0B"/>
              <w:bottom w:val="single" w:sz="6" w:space="0" w:color="0B0B0B"/>
              <w:left w:val="nil"/>
              <w:right w:val="nil"/>
            </w:tcBorders>
          </w:tcPr>
          <w:p>
            <w:pPr>
              <w:jc w:val="left"/>
            </w:pPr>
            <w:r/>
            <w:r>
              <w:rPr>
                <w:rFonts w:ascii="Times New Roman" w:hAnsi="Times New Roman" w:eastAsia="Times New Roman"/>
                <w:b/>
                <w:i w:val="0"/>
                <w:sz w:val="17"/>
              </w:rPr>
              <w:t>Shape</w:t>
            </w:r>
          </w:p>
        </w:tc>
        <w:tc>
          <w:tcPr>
            <w:tcW w:type="dxa" w:w="2635"/>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HW latency</w:t>
            </w:r>
          </w:p>
        </w:tc>
        <w:tc>
          <w:tcPr>
            <w:tcW w:type="dxa" w:w="2635"/>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CPU latency</w:t>
            </w:r>
          </w:p>
        </w:tc>
        <w:tc>
          <w:tcPr>
            <w:tcW w:type="dxa" w:w="2635"/>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Speedup</w:t>
            </w:r>
          </w:p>
        </w:tc>
      </w:tr>
      <w:tr>
        <w:trPr>
          <w:cantSplit/>
        </w:trPr>
        <w:tc>
          <w:tcPr>
            <w:tcW w:type="dxa" w:w="2635"/>
            <w:tcBorders>
              <w:top w:val="nil"/>
              <w:bottom w:val="nil"/>
              <w:left w:val="nil"/>
              <w:right w:val="nil"/>
            </w:tcBorders>
          </w:tcPr>
          <w:p>
            <w:pPr>
              <w:jc w:val="left"/>
            </w:pPr>
            <w:r/>
            <w:r>
              <w:rPr>
                <w:rFonts w:ascii="Times New Roman" w:hAnsi="Times New Roman" w:eastAsia="Times New Roman"/>
                <w:b w:val="0"/>
                <w:i w:val="0"/>
                <w:sz w:val="17"/>
              </w:rPr>
              <w:t>192×192 (projection)</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5.84 ms</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408.9 ms</w:t>
            </w:r>
          </w:p>
        </w:tc>
        <w:tc>
          <w:tcPr>
            <w:tcW w:type="dxa" w:w="2635"/>
            <w:tcBorders>
              <w:top w:val="nil"/>
              <w:bottom w:val="nil"/>
              <w:left w:val="nil"/>
              <w:right w:val="nil"/>
            </w:tcBorders>
          </w:tcPr>
          <w:p>
            <w:pPr>
              <w:jc w:val="center"/>
            </w:pPr>
            <w:r/>
            <w:r>
              <w:rPr>
                <w:rFonts w:ascii="Times New Roman" w:hAnsi="Times New Roman" w:eastAsia="Times New Roman"/>
                <w:b w:val="0"/>
                <w:i w:val="0"/>
                <w:sz w:val="17"/>
              </w:rPr>
              <w:t>70.02×</w:t>
            </w:r>
          </w:p>
        </w:tc>
      </w:tr>
      <w:tr>
        <w:trPr>
          <w:cantSplit/>
        </w:trPr>
        <w:tc>
          <w:tcPr>
            <w:tcW w:type="dxa" w:w="2635"/>
            <w:tcBorders>
              <w:top w:val="nil"/>
              <w:bottom w:val="single" w:sz="8" w:space="0" w:color="0B0B0B"/>
              <w:left w:val="nil"/>
              <w:right w:val="nil"/>
            </w:tcBorders>
          </w:tcPr>
          <w:p>
            <w:pPr>
              <w:jc w:val="left"/>
            </w:pPr>
            <w:r/>
            <w:r>
              <w:rPr>
                <w:rFonts w:ascii="Times New Roman" w:hAnsi="Times New Roman" w:eastAsia="Times New Roman"/>
                <w:b w:val="0"/>
                <w:i w:val="0"/>
                <w:sz w:val="17"/>
              </w:rPr>
              <w:t>192×320 (MLP-shaped)</w:t>
            </w:r>
          </w:p>
        </w:tc>
        <w:tc>
          <w:tcPr>
            <w:tcW w:type="dxa" w:w="2635"/>
            <w:tcBorders>
              <w:top w:val="nil"/>
              <w:bottom w:val="single" w:sz="8" w:space="0" w:color="0B0B0B"/>
              <w:left w:val="nil"/>
              <w:right w:val="nil"/>
            </w:tcBorders>
          </w:tcPr>
          <w:p>
            <w:pPr>
              <w:jc w:val="center"/>
            </w:pPr>
            <w:r/>
            <w:r>
              <w:rPr>
                <w:rFonts w:ascii="Times New Roman" w:hAnsi="Times New Roman" w:eastAsia="Times New Roman"/>
                <w:b w:val="0"/>
                <w:i w:val="0"/>
                <w:sz w:val="17"/>
              </w:rPr>
              <w:t>6.38 ms</w:t>
            </w:r>
          </w:p>
        </w:tc>
        <w:tc>
          <w:tcPr>
            <w:tcW w:type="dxa" w:w="2635"/>
            <w:tcBorders>
              <w:top w:val="nil"/>
              <w:bottom w:val="single" w:sz="8" w:space="0" w:color="0B0B0B"/>
              <w:left w:val="nil"/>
              <w:right w:val="nil"/>
            </w:tcBorders>
          </w:tcPr>
          <w:p>
            <w:pPr>
              <w:jc w:val="center"/>
            </w:pPr>
            <w:r/>
            <w:r>
              <w:rPr>
                <w:rFonts w:ascii="Times New Roman" w:hAnsi="Times New Roman" w:eastAsia="Times New Roman"/>
                <w:b w:val="0"/>
                <w:i w:val="0"/>
                <w:sz w:val="17"/>
              </w:rPr>
              <w:t>623.3 ms</w:t>
            </w:r>
          </w:p>
        </w:tc>
        <w:tc>
          <w:tcPr>
            <w:tcW w:type="dxa" w:w="2635"/>
            <w:tcBorders>
              <w:top w:val="nil"/>
              <w:bottom w:val="single" w:sz="8" w:space="0" w:color="0B0B0B"/>
              <w:left w:val="nil"/>
              <w:right w:val="nil"/>
            </w:tcBorders>
          </w:tcPr>
          <w:p>
            <w:pPr>
              <w:jc w:val="center"/>
            </w:pPr>
            <w:r/>
            <w:r>
              <w:rPr>
                <w:rFonts w:ascii="Times New Roman" w:hAnsi="Times New Roman" w:eastAsia="Times New Roman"/>
                <w:b w:val="0"/>
                <w:i w:val="0"/>
                <w:sz w:val="17"/>
              </w:rPr>
              <w:t>97.73×</w:t>
            </w:r>
          </w:p>
        </w:tc>
      </w:tr>
    </w:tbl>
    <w:p>
      <w:pPr>
        <w:spacing w:after="160"/>
      </w:pPr>
    </w:p>
    <w:p>
      <w:pPr>
        <w:spacing w:before="160" w:after="80"/>
      </w:pPr>
      <w:r>
        <w:rPr>
          <w:rFonts w:ascii="Times New Roman" w:hAnsi="Times New Roman" w:eastAsia="Times New Roman"/>
          <w:b/>
          <w:i/>
          <w:sz w:val="20"/>
        </w:rPr>
        <w:t>C. Physical Silicon Verification</w:t>
      </w:r>
    </w:p>
    <w:p>
      <w:pPr>
        <w:spacing w:before="0" w:after="120"/>
        <w:ind w:firstLine="288"/>
        <w:jc w:val="both"/>
      </w:pPr>
      <w:r>
        <w:rPr>
          <w:rFonts w:ascii="Times New Roman" w:hAnsi="Times New Roman" w:eastAsia="Times New Roman"/>
          <w:b w:val="0"/>
          <w:i w:val="0"/>
          <w:sz w:val="20"/>
        </w:rPr>
        <w:t>Independent of the kernel benchmark above, the full pipeline was validated at the exact scale exercised in Section III's simulation (200×96×160, an 18,083-cycle simulated end-to-end latency): the physical hardware run reproduced the software golden model with zero of 32,000 output elements outside the established tolerance bound, confirming that behavioral simulation and physical silicon agree at the design's originally verified scale.</w:t>
      </w:r>
    </w:p>
    <w:p>
      <w:pPr>
        <w:spacing w:before="160" w:after="80"/>
      </w:pPr>
      <w:r>
        <w:rPr>
          <w:rFonts w:ascii="Times New Roman" w:hAnsi="Times New Roman" w:eastAsia="Times New Roman"/>
          <w:b/>
          <w:i/>
          <w:sz w:val="20"/>
        </w:rPr>
        <w:t>D. Workload Characterization vs. ViT Networks</w:t>
      </w:r>
    </w:p>
    <w:p>
      <w:pPr>
        <w:spacing w:before="0" w:after="120"/>
        <w:ind w:firstLine="288"/>
        <w:jc w:val="both"/>
      </w:pPr>
      <w:r>
        <w:rPr>
          <w:rFonts w:ascii="Times New Roman" w:hAnsi="Times New Roman" w:eastAsia="Times New Roman"/>
          <w:b w:val="0"/>
          <w:i w:val="0"/>
          <w:sz w:val="20"/>
        </w:rPr>
        <w:t>A software-only ViT-Tiny (patch16, 224×224, 5.7M parameters [7], [8]) forward pass, reimplemented from scratch in NumPy and validated against its reference PyTorch implementation to a maximum logit difference of 1.02×10⁻⁵, reproduced an identical top-1 prediction with 87.26% confidence on a sample image — a single-sample confidence score, not a classification accuracy measured over a labeled evaluation set. Critically, the accelerator's fixed matmul→Softmax→GELU pipeline does not structurally correspond to any single ViT-Tiny or ViT-Base operation: multi-head self-attention consists of matrix multiplications and one Softmax with no GELU stage, while the MLP block consists of a matrix multiplication and GELU with no Softmax between them. Substituting the accelerator into either would silently apply an activation or normalization step the real operation does not include, corrupting the result. This architectural mismatch — verified directly against the RTL rather than assumed — is the reason Section VI.A–B report a kernel-level throughput benchmark rather than an end-to-end accelerated ViT inference claim.</w:t>
      </w:r>
    </w:p>
    <w:p>
      <w:pPr>
        <w:spacing w:before="120"/>
        <w:jc w:val="center"/>
      </w:pPr>
      <w:r>
        <w:drawing>
          <wp:inline xmlns:a="http://schemas.openxmlformats.org/drawingml/2006/main" xmlns:pic="http://schemas.openxmlformats.org/drawingml/2006/picture">
            <wp:extent cx="3108960" cy="1776549"/>
            <wp:docPr id="8" name="Picture 8"/>
            <wp:cNvGraphicFramePr>
              <a:graphicFrameLocks noChangeAspect="1"/>
            </wp:cNvGraphicFramePr>
            <a:graphic>
              <a:graphicData uri="http://schemas.openxmlformats.org/drawingml/2006/picture">
                <pic:pic>
                  <pic:nvPicPr>
                    <pic:cNvPr id="0" name="fig_vit_mismatch.png"/>
                    <pic:cNvPicPr/>
                  </pic:nvPicPr>
                  <pic:blipFill>
                    <a:blip r:embed="rId16"/>
                    <a:stretch>
                      <a:fillRect/>
                    </a:stretch>
                  </pic:blipFill>
                  <pic:spPr>
                    <a:xfrm>
                      <a:off x="0" y="0"/>
                      <a:ext cx="3108960" cy="1776549"/>
                    </a:xfrm>
                    <a:prstGeom prst="rect"/>
                  </pic:spPr>
                </pic:pic>
              </a:graphicData>
            </a:graphic>
          </wp:inline>
        </w:drawing>
      </w:r>
    </w:p>
    <w:p>
      <w:pPr>
        <w:spacing w:after="200"/>
        <w:jc w:val="center"/>
      </w:pPr>
      <w:r>
        <w:rPr>
          <w:rFonts w:ascii="Times New Roman" w:hAnsi="Times New Roman" w:eastAsia="Times New Roman"/>
          <w:b w:val="0"/>
          <w:i/>
          <w:sz w:val="18"/>
        </w:rPr>
        <w:t>Fig. 8. Real ViT self-attention and MLP dataflows contrasted with taoFPGA's fixed fused pipeline.</w:t>
      </w:r>
    </w:p>
    <w:p>
      <w:pPr>
        <w:spacing w:before="160" w:after="80"/>
      </w:pPr>
      <w:r>
        <w:rPr>
          <w:rFonts w:ascii="Times New Roman" w:hAnsi="Times New Roman" w:eastAsia="Times New Roman"/>
          <w:b/>
          <w:i/>
          <w:sz w:val="20"/>
        </w:rPr>
        <w:t>E. Hardware Bring-Up Observations &amp; Edge Cases</w:t>
      </w:r>
    </w:p>
    <w:p>
      <w:pPr>
        <w:spacing w:before="0" w:after="120"/>
        <w:ind w:firstLine="288"/>
        <w:jc w:val="both"/>
      </w:pPr>
      <w:r>
        <w:rPr>
          <w:rFonts w:ascii="Times New Roman" w:hAnsi="Times New Roman" w:eastAsia="Times New Roman"/>
          <w:b w:val="0"/>
          <w:i w:val="0"/>
          <w:sz w:val="20"/>
        </w:rPr>
        <w:t>Two open hardware findings emerged during bring-up. First, a root-caused defect in the input buffer's row-replay address counter (MM_in_buffer): for a single-row configuration (F_length = 1), the counter advances to 1 immediately on start but its wrap-to-zero condition checks against F_length−1 = 0, a value it can then never reach again, causing the buffer to read stale data indefinitely (Appendix A.11 traces the full diagnostic path to this root cause). Second, a related but distinct DMA hang observed at a two-row configuration was traced far enough to rule out the same cause but not far enough to identify its root (Appendix A.10 covers the methodical, cheapest-checks-first process that narrowed the search before this residual gap was reached); both are confined to matrix shapes far smaller than any configuration this design was validated at (Section III.B, VI.C), and the codebase was frozen with both documented as open items (Section VII) rather than resolved in this scope.</w:t>
      </w:r>
    </w:p>
    <w:p>
      <w:pPr>
        <w:spacing w:before="160" w:after="80"/>
      </w:pPr>
      <w:r>
        <w:rPr>
          <w:rFonts w:ascii="Times New Roman" w:hAnsi="Times New Roman" w:eastAsia="Times New Roman"/>
          <w:b/>
          <w:i/>
          <w:sz w:val="20"/>
        </w:rPr>
        <w:t>F. Comparative Analysis with Prior FPGA Transformer Accelerators</w:t>
      </w:r>
    </w:p>
    <w:p>
      <w:pPr>
        <w:spacing w:before="0" w:after="120"/>
        <w:ind w:firstLine="288"/>
        <w:jc w:val="both"/>
      </w:pPr>
      <w:r>
        <w:rPr>
          <w:rFonts w:ascii="Times New Roman" w:hAnsi="Times New Roman" w:eastAsia="Times New Roman"/>
          <w:b w:val="0"/>
          <w:i w:val="0"/>
          <w:sz w:val="20"/>
        </w:rPr>
        <w:t>Table IV situates taoFPGA relative to two literature FPGA transformer accelerators, ME-ViT [3] and FTRANS [4], restricted to figures independently confirmed from each paper's own reported text rather than secondary summaries. All three designs converge on the same architectural pattern noted in Section I.A — fixed-point quantization paired with a DSP-array-dominated datapath, each running its target device's DSP budget close to saturation.</w:t>
      </w:r>
    </w:p>
    <w:p>
      <w:pPr>
        <w:spacing w:before="120" w:after="40"/>
        <w:jc w:val="center"/>
      </w:pPr>
      <w:r>
        <w:rPr>
          <w:rFonts w:ascii="Times New Roman" w:hAnsi="Times New Roman" w:eastAsia="Times New Roman"/>
          <w:b w:val="0"/>
          <w:i w:val="0"/>
          <w:sz w:val="18"/>
        </w:rPr>
        <w:t>TABLE IV. COMPARISON WITH LITERATURE FPGA TRANSFORMER ACCELERATORS</w:t>
      </w:r>
    </w:p>
    <w:tbl>
      <w:tblPr>
        <w:tblW w:type="auto" w:w="0"/>
        <w:tblLook w:firstColumn="1" w:firstRow="1" w:lastColumn="0" w:lastRow="0" w:noHBand="0" w:noVBand="1" w:val="04A0"/>
      </w:tblPr>
      <w:tblGrid>
        <w:gridCol w:w="2108"/>
        <w:gridCol w:w="2108"/>
        <w:gridCol w:w="2108"/>
        <w:gridCol w:w="2108"/>
        <w:gridCol w:w="2108"/>
      </w:tblGrid>
      <w:tr>
        <w:trPr>
          <w:cantSplit/>
        </w:trPr>
        <w:tc>
          <w:tcPr>
            <w:tcW w:type="dxa" w:w="2108"/>
            <w:tcBorders>
              <w:top w:val="single" w:sz="8" w:space="0" w:color="0B0B0B"/>
              <w:bottom w:val="single" w:sz="6" w:space="0" w:color="0B0B0B"/>
              <w:left w:val="nil"/>
              <w:right w:val="nil"/>
            </w:tcBorders>
          </w:tcPr>
          <w:p>
            <w:pPr>
              <w:jc w:val="left"/>
            </w:pPr>
            <w:r/>
            <w:r>
              <w:rPr>
                <w:rFonts w:ascii="Times New Roman" w:hAnsi="Times New Roman" w:eastAsia="Times New Roman"/>
                <w:b/>
                <w:i w:val="0"/>
                <w:sz w:val="17"/>
              </w:rPr>
              <w:t>Design</w:t>
            </w:r>
          </w:p>
        </w:tc>
        <w:tc>
          <w:tcPr>
            <w:tcW w:type="dxa" w:w="2108"/>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Target FPGA (total DSPs)</w:t>
            </w:r>
          </w:p>
        </w:tc>
        <w:tc>
          <w:tcPr>
            <w:tcW w:type="dxa" w:w="2108"/>
            <w:tcBorders>
              <w:top w:val="single" w:sz="8" w:space="0" w:color="0B0B0B"/>
              <w:bottom w:val="single" w:sz="6" w:space="0" w:color="0B0B0B"/>
              <w:left w:val="nil"/>
              <w:right w:val="nil"/>
            </w:tcBorders>
          </w:tcPr>
          <w:p>
            <w:pPr>
              <w:jc w:val="left"/>
            </w:pPr>
            <w:r/>
            <w:r>
              <w:rPr>
                <w:rFonts w:ascii="Times New Roman" w:hAnsi="Times New Roman" w:eastAsia="Times New Roman"/>
                <w:b/>
                <w:i w:val="0"/>
                <w:sz w:val="17"/>
              </w:rPr>
              <w:t>Precision</w:t>
            </w:r>
          </w:p>
        </w:tc>
        <w:tc>
          <w:tcPr>
            <w:tcW w:type="dxa" w:w="2108"/>
            <w:tcBorders>
              <w:top w:val="single" w:sz="8" w:space="0" w:color="0B0B0B"/>
              <w:bottom w:val="single" w:sz="6" w:space="0" w:color="0B0B0B"/>
              <w:left w:val="nil"/>
              <w:right w:val="nil"/>
            </w:tcBorders>
          </w:tcPr>
          <w:p>
            <w:pPr>
              <w:jc w:val="center"/>
            </w:pPr>
            <w:r/>
            <w:r>
              <w:rPr>
                <w:rFonts w:ascii="Times New Roman" w:hAnsi="Times New Roman" w:eastAsia="Times New Roman"/>
                <w:b/>
                <w:i w:val="0"/>
                <w:sz w:val="17"/>
              </w:rPr>
              <w:t>DSP utilization</w:t>
            </w:r>
          </w:p>
        </w:tc>
        <w:tc>
          <w:tcPr>
            <w:tcW w:type="dxa" w:w="2108"/>
            <w:tcBorders>
              <w:top w:val="single" w:sz="8" w:space="0" w:color="0B0B0B"/>
              <w:bottom w:val="single" w:sz="6" w:space="0" w:color="0B0B0B"/>
              <w:left w:val="nil"/>
              <w:right w:val="nil"/>
            </w:tcBorders>
          </w:tcPr>
          <w:p>
            <w:pPr>
              <w:jc w:val="left"/>
            </w:pPr>
            <w:r/>
            <w:r>
              <w:rPr>
                <w:rFonts w:ascii="Times New Roman" w:hAnsi="Times New Roman" w:eastAsia="Times New Roman"/>
                <w:b/>
                <w:i w:val="0"/>
                <w:sz w:val="17"/>
              </w:rPr>
              <w:t>Reported efficiency</w:t>
            </w:r>
          </w:p>
        </w:tc>
      </w:tr>
      <w:tr>
        <w:trPr>
          <w:cantSplit/>
        </w:trPr>
        <w:tc>
          <w:tcPr>
            <w:tcW w:type="dxa" w:w="2108"/>
            <w:tcBorders>
              <w:top w:val="nil"/>
              <w:bottom w:val="nil"/>
              <w:left w:val="nil"/>
              <w:right w:val="nil"/>
            </w:tcBorders>
          </w:tcPr>
          <w:p>
            <w:pPr>
              <w:jc w:val="left"/>
            </w:pPr>
            <w:r/>
            <w:r>
              <w:rPr>
                <w:rFonts w:ascii="Times New Roman" w:hAnsi="Times New Roman" w:eastAsia="Times New Roman"/>
                <w:b w:val="0"/>
                <w:i w:val="0"/>
                <w:sz w:val="17"/>
              </w:rPr>
              <w:t>taoFPGA (this work)</w:t>
            </w:r>
          </w:p>
        </w:tc>
        <w:tc>
          <w:tcPr>
            <w:tcW w:type="dxa" w:w="2108"/>
            <w:tcBorders>
              <w:top w:val="nil"/>
              <w:bottom w:val="nil"/>
              <w:left w:val="nil"/>
              <w:right w:val="nil"/>
            </w:tcBorders>
          </w:tcPr>
          <w:p>
            <w:pPr>
              <w:jc w:val="center"/>
            </w:pPr>
            <w:r/>
            <w:r>
              <w:rPr>
                <w:rFonts w:ascii="Times New Roman" w:hAnsi="Times New Roman" w:eastAsia="Times New Roman"/>
                <w:b w:val="0"/>
                <w:i w:val="0"/>
                <w:sz w:val="17"/>
              </w:rPr>
              <w:t>Zynq-7020 (220)</w:t>
            </w:r>
          </w:p>
        </w:tc>
        <w:tc>
          <w:tcPr>
            <w:tcW w:type="dxa" w:w="2108"/>
            <w:tcBorders>
              <w:top w:val="nil"/>
              <w:bottom w:val="nil"/>
              <w:left w:val="nil"/>
              <w:right w:val="nil"/>
            </w:tcBorders>
          </w:tcPr>
          <w:p>
            <w:pPr>
              <w:jc w:val="left"/>
            </w:pPr>
            <w:r/>
            <w:r>
              <w:rPr>
                <w:rFonts w:ascii="Times New Roman" w:hAnsi="Times New Roman" w:eastAsia="Times New Roman"/>
                <w:b w:val="0"/>
                <w:i w:val="0"/>
                <w:sz w:val="17"/>
              </w:rPr>
              <w:t>INT8</w:t>
            </w:r>
          </w:p>
        </w:tc>
        <w:tc>
          <w:tcPr>
            <w:tcW w:type="dxa" w:w="2108"/>
            <w:tcBorders>
              <w:top w:val="nil"/>
              <w:bottom w:val="nil"/>
              <w:left w:val="nil"/>
              <w:right w:val="nil"/>
            </w:tcBorders>
          </w:tcPr>
          <w:p>
            <w:pPr>
              <w:jc w:val="center"/>
            </w:pPr>
            <w:r/>
            <w:r>
              <w:rPr>
                <w:rFonts w:ascii="Times New Roman" w:hAnsi="Times New Roman" w:eastAsia="Times New Roman"/>
                <w:b w:val="0"/>
                <w:i w:val="0"/>
                <w:sz w:val="17"/>
              </w:rPr>
              <w:t>205 / 220 (93.2%)</w:t>
            </w:r>
          </w:p>
        </w:tc>
        <w:tc>
          <w:tcPr>
            <w:tcW w:type="dxa" w:w="2108"/>
            <w:tcBorders>
              <w:top w:val="nil"/>
              <w:bottom w:val="nil"/>
              <w:left w:val="nil"/>
              <w:right w:val="nil"/>
            </w:tcBorders>
          </w:tcPr>
          <w:p>
            <w:pPr>
              <w:jc w:val="left"/>
            </w:pPr>
            <w:r/>
            <w:r>
              <w:rPr>
                <w:rFonts w:ascii="Times New Roman" w:hAnsi="Times New Roman" w:eastAsia="Times New Roman"/>
                <w:b w:val="0"/>
                <w:i w:val="0"/>
                <w:sz w:val="17"/>
              </w:rPr>
              <w:t>2.25 GOPS/W total; 70.0×–97.7× vs. on-chip ARM Cortex-A9</w:t>
            </w:r>
          </w:p>
        </w:tc>
      </w:tr>
      <w:tr>
        <w:trPr>
          <w:cantSplit/>
        </w:trPr>
        <w:tc>
          <w:tcPr>
            <w:tcW w:type="dxa" w:w="2108"/>
            <w:tcBorders>
              <w:top w:val="nil"/>
              <w:bottom w:val="nil"/>
              <w:left w:val="nil"/>
              <w:right w:val="nil"/>
            </w:tcBorders>
          </w:tcPr>
          <w:p>
            <w:pPr>
              <w:jc w:val="left"/>
            </w:pPr>
            <w:r/>
            <w:r>
              <w:rPr>
                <w:rFonts w:ascii="Times New Roman" w:hAnsi="Times New Roman" w:eastAsia="Times New Roman"/>
                <w:b w:val="0"/>
                <w:i w:val="0"/>
                <w:sz w:val="17"/>
              </w:rPr>
              <w:t>ME-ViT [3]</w:t>
            </w:r>
          </w:p>
        </w:tc>
        <w:tc>
          <w:tcPr>
            <w:tcW w:type="dxa" w:w="2108"/>
            <w:tcBorders>
              <w:top w:val="nil"/>
              <w:bottom w:val="nil"/>
              <w:left w:val="nil"/>
              <w:right w:val="nil"/>
            </w:tcBorders>
          </w:tcPr>
          <w:p>
            <w:pPr>
              <w:jc w:val="center"/>
            </w:pPr>
            <w:r/>
            <w:r>
              <w:rPr>
                <w:rFonts w:ascii="Times New Roman" w:hAnsi="Times New Roman" w:eastAsia="Times New Roman"/>
                <w:b w:val="0"/>
                <w:i w:val="0"/>
                <w:sz w:val="17"/>
              </w:rPr>
              <w:t>Alveo U200 (5,867)</w:t>
            </w:r>
          </w:p>
        </w:tc>
        <w:tc>
          <w:tcPr>
            <w:tcW w:type="dxa" w:w="2108"/>
            <w:tcBorders>
              <w:top w:val="nil"/>
              <w:bottom w:val="nil"/>
              <w:left w:val="nil"/>
              <w:right w:val="nil"/>
            </w:tcBorders>
          </w:tcPr>
          <w:p>
            <w:pPr>
              <w:jc w:val="left"/>
            </w:pPr>
            <w:r/>
            <w:r>
              <w:rPr>
                <w:rFonts w:ascii="Times New Roman" w:hAnsi="Times New Roman" w:eastAsia="Times New Roman"/>
                <w:b w:val="0"/>
                <w:i w:val="0"/>
                <w:sz w:val="17"/>
              </w:rPr>
              <w:t>not stated in source</w:t>
            </w:r>
          </w:p>
        </w:tc>
        <w:tc>
          <w:tcPr>
            <w:tcW w:type="dxa" w:w="2108"/>
            <w:tcBorders>
              <w:top w:val="nil"/>
              <w:bottom w:val="nil"/>
              <w:left w:val="nil"/>
              <w:right w:val="nil"/>
            </w:tcBorders>
          </w:tcPr>
          <w:p>
            <w:pPr>
              <w:jc w:val="center"/>
            </w:pPr>
            <w:r/>
            <w:r>
              <w:rPr>
                <w:rFonts w:ascii="Times New Roman" w:hAnsi="Times New Roman" w:eastAsia="Times New Roman"/>
                <w:b w:val="0"/>
                <w:i w:val="0"/>
                <w:sz w:val="17"/>
              </w:rPr>
              <w:t>1,024 / 5,867 (17.5%)</w:t>
            </w:r>
          </w:p>
        </w:tc>
        <w:tc>
          <w:tcPr>
            <w:tcW w:type="dxa" w:w="2108"/>
            <w:tcBorders>
              <w:top w:val="nil"/>
              <w:bottom w:val="nil"/>
              <w:left w:val="nil"/>
              <w:right w:val="nil"/>
            </w:tcBorders>
          </w:tcPr>
          <w:p>
            <w:pPr>
              <w:jc w:val="left"/>
            </w:pPr>
            <w:r/>
            <w:r>
              <w:rPr>
                <w:rFonts w:ascii="Times New Roman" w:hAnsi="Times New Roman" w:eastAsia="Times New Roman"/>
                <w:b w:val="0"/>
                <w:i w:val="0"/>
                <w:sz w:val="17"/>
              </w:rPr>
              <w:t>4.00× power efficiency vs. GPU; 9.22×–17.89× memory-bandwidth gain</w:t>
            </w:r>
          </w:p>
        </w:tc>
      </w:tr>
      <w:tr>
        <w:trPr>
          <w:cantSplit/>
        </w:trPr>
        <w:tc>
          <w:tcPr>
            <w:tcW w:type="dxa" w:w="2108"/>
            <w:tcBorders>
              <w:top w:val="nil"/>
              <w:bottom w:val="single" w:sz="8" w:space="0" w:color="0B0B0B"/>
              <w:left w:val="nil"/>
              <w:right w:val="nil"/>
            </w:tcBorders>
          </w:tcPr>
          <w:p>
            <w:pPr>
              <w:jc w:val="left"/>
            </w:pPr>
            <w:r/>
            <w:r>
              <w:rPr>
                <w:rFonts w:ascii="Times New Roman" w:hAnsi="Times New Roman" w:eastAsia="Times New Roman"/>
                <w:b w:val="0"/>
                <w:i w:val="0"/>
                <w:sz w:val="17"/>
              </w:rPr>
              <w:t>FTRANS [4]</w:t>
            </w:r>
          </w:p>
        </w:tc>
        <w:tc>
          <w:tcPr>
            <w:tcW w:type="dxa" w:w="2108"/>
            <w:tcBorders>
              <w:top w:val="nil"/>
              <w:bottom w:val="single" w:sz="8" w:space="0" w:color="0B0B0B"/>
              <w:left w:val="nil"/>
              <w:right w:val="nil"/>
            </w:tcBorders>
          </w:tcPr>
          <w:p>
            <w:pPr>
              <w:jc w:val="center"/>
            </w:pPr>
            <w:r/>
            <w:r>
              <w:rPr>
                <w:rFonts w:ascii="Times New Roman" w:hAnsi="Times New Roman" w:eastAsia="Times New Roman"/>
                <w:b w:val="0"/>
                <w:i w:val="0"/>
                <w:sz w:val="17"/>
              </w:rPr>
              <w:t>VCU118 (6,840)</w:t>
            </w:r>
          </w:p>
        </w:tc>
        <w:tc>
          <w:tcPr>
            <w:tcW w:type="dxa" w:w="2108"/>
            <w:tcBorders>
              <w:top w:val="nil"/>
              <w:bottom w:val="single" w:sz="8" w:space="0" w:color="0B0B0B"/>
              <w:left w:val="nil"/>
              <w:right w:val="nil"/>
            </w:tcBorders>
          </w:tcPr>
          <w:p>
            <w:pPr>
              <w:jc w:val="left"/>
            </w:pPr>
            <w:r/>
            <w:r>
              <w:rPr>
                <w:rFonts w:ascii="Times New Roman" w:hAnsi="Times New Roman" w:eastAsia="Times New Roman"/>
                <w:b w:val="0"/>
                <w:i w:val="0"/>
                <w:sz w:val="17"/>
              </w:rPr>
              <w:t>16-bit fixed-point + BCM compression</w:t>
            </w:r>
          </w:p>
        </w:tc>
        <w:tc>
          <w:tcPr>
            <w:tcW w:type="dxa" w:w="2108"/>
            <w:tcBorders>
              <w:top w:val="nil"/>
              <w:bottom w:val="single" w:sz="8" w:space="0" w:color="0B0B0B"/>
              <w:left w:val="nil"/>
              <w:right w:val="nil"/>
            </w:tcBorders>
          </w:tcPr>
          <w:p>
            <w:pPr>
              <w:jc w:val="center"/>
            </w:pPr>
            <w:r/>
            <w:r>
              <w:rPr>
                <w:rFonts w:ascii="Times New Roman" w:hAnsi="Times New Roman" w:eastAsia="Times New Roman"/>
                <w:b w:val="0"/>
                <w:i w:val="0"/>
                <w:sz w:val="17"/>
              </w:rPr>
              <w:t>5,647–6,531 / 6,840 (82.6–95.5%)</w:t>
            </w:r>
          </w:p>
        </w:tc>
        <w:tc>
          <w:tcPr>
            <w:tcW w:type="dxa" w:w="2108"/>
            <w:tcBorders>
              <w:top w:val="nil"/>
              <w:bottom w:val="single" w:sz="8" w:space="0" w:color="0B0B0B"/>
              <w:left w:val="nil"/>
              <w:right w:val="nil"/>
            </w:tcBorders>
          </w:tcPr>
          <w:p>
            <w:pPr>
              <w:jc w:val="left"/>
            </w:pPr>
            <w:r/>
            <w:r>
              <w:rPr>
                <w:rFonts w:ascii="Times New Roman" w:hAnsi="Times New Roman" w:eastAsia="Times New Roman"/>
                <w:b w:val="0"/>
                <w:i w:val="0"/>
                <w:sz w:val="17"/>
              </w:rPr>
              <w:t>81×/8.80×/2.44× energy efficiency vs. CPU/GPU/Jetson TX2</w:t>
            </w:r>
          </w:p>
        </w:tc>
      </w:tr>
    </w:tbl>
    <w:p>
      <w:pPr>
        <w:spacing w:after="160"/>
      </w:pPr>
    </w:p>
    <w:p>
      <w:pPr>
        <w:spacing w:before="0" w:after="120"/>
        <w:ind w:firstLine="288"/>
        <w:jc w:val="both"/>
      </w:pPr>
      <w:r>
        <w:rPr>
          <w:rFonts w:ascii="Times New Roman" w:hAnsi="Times New Roman" w:eastAsia="Times New Roman"/>
          <w:b w:val="0"/>
          <w:i w:val="0"/>
          <w:sz w:val="20"/>
        </w:rPr>
        <w:t>A direct throughput or GOPS/W ranking across all three would misrepresent the comparison: ME-ViT and FTRANS target datacenter-class FPGAs (5,867 and 6,840 DSPs respectively) benchmarked against GPU/CPU baselines, whereas taoFPGA targets a resource-constrained embedded SoC with 220 total DSPs — a difference of more than 25× in available DSP budget alone — benchmarked against its own on-chip ARM Cortex-A9. This table is offered to situate taoFPGA's design choices within the same architectural family as prior work, not to claim a device-independent performance ranking; the same discipline against overclaiming a comparison already governs the ViT workload-mismatch analysis of Section VI.D.</w:t>
      </w:r>
    </w:p>
    <w:p>
      <w:pPr>
        <w:spacing w:before="240" w:after="120"/>
        <w:jc w:val="center"/>
      </w:pPr>
      <w:r>
        <w:rPr>
          <w:rFonts w:ascii="Times New Roman" w:hAnsi="Times New Roman" w:eastAsia="Times New Roman"/>
          <w:b/>
          <w:i w:val="0"/>
          <w:sz w:val="22"/>
        </w:rPr>
        <w:t>VII. ENGINEERING DISCUSSION, BOTTLENECKS &amp; FUTURE WORK</w:t>
      </w:r>
    </w:p>
    <w:p>
      <w:pPr>
        <w:spacing w:before="160" w:after="80"/>
      </w:pPr>
      <w:r>
        <w:rPr>
          <w:rFonts w:ascii="Times New Roman" w:hAnsi="Times New Roman" w:eastAsia="Times New Roman"/>
          <w:b/>
          <w:i/>
          <w:sz w:val="20"/>
        </w:rPr>
        <w:t>A. DMA Buffer Boundary Constraints</w:t>
      </w:r>
    </w:p>
    <w:p>
      <w:pPr>
        <w:spacing w:before="0" w:after="120"/>
        <w:ind w:firstLine="288"/>
        <w:jc w:val="both"/>
      </w:pPr>
      <w:r>
        <w:rPr>
          <w:rFonts w:ascii="Times New Roman" w:hAnsi="Times New Roman" w:eastAsia="Times New Roman"/>
          <w:b w:val="0"/>
          <w:i w:val="0"/>
          <w:sz w:val="20"/>
        </w:rPr>
        <w:t>The design's three AXI DMA engines were synthesized with a 16-bit transfer-length register, capping any single DMA transfer at 65,536 bytes. This directly prevented benchmarking the real 768-wide ViT-Tiny MLP hidden dimension (a 192×768 weight buffer alone requires 147,456 bytes) and, more broadly, blocks batch processing entirely: streaming even two images' feature matrices against a shared weight matrix already overflows the ceiling for every benchmarked shape in this work. Splitting a transfer across multiple smaller DMA calls is not a safe software workaround with the current RTL, since the input buffer's write-address counters reset on the stream's tlast signal, which the design's direct-register DMA mode asserts at the end of every transfer issued — not only a genuinely final one — corrupting rather than merely truncating a chunked transfer. Appendix A.13 gives the full account of why this specific workaround was rejected, including the RTL trace that ruled it unsafe.</w:t>
      </w:r>
    </w:p>
    <w:p>
      <w:pPr>
        <w:spacing w:before="160" w:after="80"/>
      </w:pPr>
      <w:r>
        <w:rPr>
          <w:rFonts w:ascii="Times New Roman" w:hAnsi="Times New Roman" w:eastAsia="Times New Roman"/>
          <w:b/>
          <w:i/>
          <w:sz w:val="20"/>
        </w:rPr>
        <w:t>B. Serial Softmax Throughput Bottleneck</w:t>
      </w:r>
    </w:p>
    <w:p>
      <w:pPr>
        <w:spacing w:before="0" w:after="120"/>
        <w:ind w:firstLine="288"/>
        <w:jc w:val="both"/>
      </w:pPr>
      <w:r>
        <w:rPr>
          <w:rFonts w:ascii="Times New Roman" w:hAnsi="Times New Roman" w:eastAsia="Times New Roman"/>
          <w:b w:val="0"/>
          <w:i w:val="0"/>
          <w:sz w:val="20"/>
        </w:rPr>
        <w:t>The systolic array produces A_size parallel INT8 results per cycle, while the Softmax engine consumes and produces exactly one scalar per cycle across three full passes over each row. This structural mismatch — a fully parallel two-dimensional compute stage feeding a one-dimensional serial normalization stage — is a standing throughput bottleneck independent of clock frequency or DSP utilization, and is the most direct architectural target for a future parallel or pipelined Softmax redesign.</w:t>
      </w:r>
    </w:p>
    <w:p>
      <w:pPr>
        <w:spacing w:before="160" w:after="80"/>
      </w:pPr>
      <w:r>
        <w:rPr>
          <w:rFonts w:ascii="Times New Roman" w:hAnsi="Times New Roman" w:eastAsia="Times New Roman"/>
          <w:b/>
          <w:i/>
          <w:sz w:val="20"/>
        </w:rPr>
        <w:t>C. Architectural Roadmap</w:t>
      </w:r>
    </w:p>
    <w:p>
      <w:pPr>
        <w:spacing w:before="0" w:after="120"/>
        <w:ind w:firstLine="288"/>
        <w:jc w:val="both"/>
      </w:pPr>
      <w:r>
        <w:rPr>
          <w:rFonts w:ascii="Times New Roman" w:hAnsi="Times New Roman" w:eastAsia="Times New Roman"/>
          <w:b w:val="0"/>
          <w:i w:val="0"/>
          <w:sz w:val="20"/>
        </w:rPr>
        <w:t>Two concrete next steps follow directly from Sections VII.A–B: (i) replacing direct-register DMA with genuine Scatter-Gather DMA (or, more simply, re-synthesizing with a wider transfer-length register), giving explicit per-descriptor frame-boundary control and removing the single-transfer ceiling that currently blocks both full-width MLP evaluation and batch processing; and (ii) decoupling the matmul, Softmax, and GELU stages into independent streaming nodes with real backpressure support, addressing both the serial Softmax bottleneck and a separately documented limitation in the GELU stage's lack of an internal skid buffer.</w:t>
      </w:r>
    </w:p>
    <w:p>
      <w:pPr>
        <w:spacing w:before="240" w:after="120"/>
        <w:jc w:val="center"/>
      </w:pPr>
      <w:r>
        <w:rPr>
          <w:rFonts w:ascii="Times New Roman" w:hAnsi="Times New Roman" w:eastAsia="Times New Roman"/>
          <w:b/>
          <w:i w:val="0"/>
          <w:sz w:val="22"/>
        </w:rPr>
        <w:t>VIII. CONCLUSION</w:t>
      </w:r>
    </w:p>
    <w:p>
      <w:pPr>
        <w:spacing w:before="0" w:after="120"/>
        <w:ind w:firstLine="288"/>
        <w:jc w:val="both"/>
      </w:pPr>
      <w:r>
        <w:rPr>
          <w:rFonts w:ascii="Times New Roman" w:hAnsi="Times New Roman" w:eastAsia="Times New Roman"/>
          <w:b w:val="0"/>
          <w:i w:val="0"/>
          <w:sz w:val="20"/>
        </w:rPr>
        <w:t>taoFPGA demonstrates a complete hardware/software co-design lifecycle for a quantized transformer processing core, from fixed-point mathematical formulation and tolerance-bounded RTL verification through physical signoff, real hardware bring-up, and a kernel-level benchmark against a genuinely validated software ViT baseline. Beyond the measured results — a 49.3% LUT reduction and 3.1% power reduction from a single synthesis-level fix, zero-error silicon validation at full verified scale, and up to 97.73× kernel speedup over an embedded ARM CPU — the project's governing discipline throughout was to verify every layer of the system against its own ground truth rather than inherit correctness from an adjacent layer, and to report every limitation — architectural, numerical, or a hardware transfer ceiling — as precisely as the result being claimed. The 64 KB DMA ceiling and its Scatter-Gather resolution path, together with the serial Softmax bottleneck, define a clear and quantified roadmap for the next iteration of this work.</w:t>
      </w:r>
    </w:p>
    <w:p>
      <w:pPr>
        <w:spacing w:before="240" w:after="120"/>
        <w:jc w:val="center"/>
      </w:pPr>
      <w:r>
        <w:rPr>
          <w:rFonts w:ascii="Times New Roman" w:hAnsi="Times New Roman" w:eastAsia="Times New Roman"/>
          <w:b/>
          <w:i w:val="0"/>
          <w:sz w:val="22"/>
        </w:rPr>
        <w:t>REFERENCES</w:t>
      </w:r>
    </w:p>
    <w:p>
      <w:pPr>
        <w:spacing w:after="60"/>
      </w:pPr>
      <w:r>
        <w:rPr>
          <w:rFonts w:ascii="Times New Roman" w:hAnsi="Times New Roman" w:eastAsia="Times New Roman"/>
          <w:b w:val="0"/>
          <w:i w:val="0"/>
          <w:sz w:val="18"/>
        </w:rPr>
        <w:t>[1] A. Vaswani et al., “Attention Is All You Need,” in Proc. NeurIPS, 2017.</w:t>
      </w:r>
    </w:p>
    <w:p>
      <w:pPr>
        <w:spacing w:after="60"/>
      </w:pPr>
      <w:r>
        <w:rPr>
          <w:rFonts w:ascii="Times New Roman" w:hAnsi="Times New Roman" w:eastAsia="Times New Roman"/>
          <w:b w:val="0"/>
          <w:i w:val="0"/>
          <w:sz w:val="18"/>
        </w:rPr>
        <w:t>[2] B. J. Kang, H. I. Lee, S. K. Yoon, Y. C. Kim, S. B. Jeong, S. J. O, and H. Kim, “A survey of FPGA and ASIC designs for transformer inference acceleration and optimization,” J. Systems Architecture, vol. 155, art. 103247, Oct. 2024.</w:t>
      </w:r>
    </w:p>
    <w:p>
      <w:pPr>
        <w:spacing w:after="60"/>
      </w:pPr>
      <w:r>
        <w:rPr>
          <w:rFonts w:ascii="Times New Roman" w:hAnsi="Times New Roman" w:eastAsia="Times New Roman"/>
          <w:b w:val="0"/>
          <w:i w:val="0"/>
          <w:sz w:val="18"/>
        </w:rPr>
        <w:t>[3] K. Marino, P. Zhang, and V. K. Prasanna, “ME-ViT: A Single-Load Memory-Efficient FPGA Accelerator for Vision Transformers,” in Proc. IEEE 30th Int. Conf. High Performance Computing, Data, and Analytics (HiPC), 2023.</w:t>
      </w:r>
    </w:p>
    <w:p>
      <w:pPr>
        <w:spacing w:after="60"/>
      </w:pPr>
      <w:r>
        <w:rPr>
          <w:rFonts w:ascii="Times New Roman" w:hAnsi="Times New Roman" w:eastAsia="Times New Roman"/>
          <w:b w:val="0"/>
          <w:i w:val="0"/>
          <w:sz w:val="18"/>
        </w:rPr>
        <w:t>[4] B. Li, S. Pandey, H. Fang, Y. Lyv, J. Li, J. Chen, M. Xie, L. Wan, H. Liu, and C. Ding, “FTRANS: Energy-efficient acceleration of transformers using FPGA,” in Proc. ACM/IEEE Int. Symp. Low Power Electronics and Design (ISLPED), 2020.</w:t>
      </w:r>
    </w:p>
    <w:p>
      <w:pPr>
        <w:spacing w:after="60"/>
      </w:pPr>
      <w:r>
        <w:rPr>
          <w:rFonts w:ascii="Times New Roman" w:hAnsi="Times New Roman" w:eastAsia="Times New Roman"/>
          <w:b w:val="0"/>
          <w:i w:val="0"/>
          <w:sz w:val="18"/>
        </w:rPr>
        <w:t>[5] Y. Chen, T. Li, X. Chen, Z. Cai, and T. Su, “High-Frequency Systolic Array-Based Transformer Accelerator on Field Programmable Gate Arrays,” Electronics, vol. 12, no. 4, art. 822, 2023.</w:t>
      </w:r>
    </w:p>
    <w:p>
      <w:pPr>
        <w:spacing w:after="60"/>
      </w:pPr>
      <w:r>
        <w:rPr>
          <w:rFonts w:ascii="Times New Roman" w:hAnsi="Times New Roman" w:eastAsia="Times New Roman"/>
          <w:b w:val="0"/>
          <w:i w:val="0"/>
          <w:sz w:val="18"/>
        </w:rPr>
        <w:t>[6] AMD/Xilinx, “Vivado Design Suite User Guide: Synthesis (UG901),” AMD, San Jose, CA, USA.</w:t>
      </w:r>
    </w:p>
    <w:p>
      <w:pPr>
        <w:spacing w:after="60"/>
      </w:pPr>
      <w:r>
        <w:rPr>
          <w:rFonts w:ascii="Times New Roman" w:hAnsi="Times New Roman" w:eastAsia="Times New Roman"/>
          <w:b w:val="0"/>
          <w:i w:val="0"/>
          <w:sz w:val="18"/>
        </w:rPr>
        <w:t>[7] A. Dosovitskiy et al., “An Image is Worth 16x16 Words: Transformers for Image Recognition at Scale,” in Proc. ICLR, 2021.</w:t>
      </w:r>
    </w:p>
    <w:p>
      <w:pPr>
        <w:spacing w:after="60"/>
      </w:pPr>
      <w:r>
        <w:rPr>
          <w:rFonts w:ascii="Times New Roman" w:hAnsi="Times New Roman" w:eastAsia="Times New Roman"/>
          <w:b w:val="0"/>
          <w:i w:val="0"/>
          <w:sz w:val="18"/>
        </w:rPr>
        <w:t>[8] R. Wightman, “PyTorch Image Models (timm),” GitHub repository, 2019. [Online]. Available: https://github.com/huggingface/pytorch-image-models</w:t>
      </w:r>
    </w:p>
    <w:sectPr w:rsidR="00FC693F" w:rsidRPr="0006063C" w:rsidSect="00034616">
      <w:type w:val="continuous"/>
      <w:pgSz w:w="12240" w:h="15840"/>
      <w:pgMar w:top="1077" w:right="850" w:bottom="1417" w:left="85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