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0597D" w14:textId="77777777" w:rsidR="005A19EE" w:rsidRDefault="00254225">
      <w:pPr>
        <w:spacing w:after="240"/>
        <w:jc w:val="center"/>
      </w:pPr>
      <w:r>
        <w:rPr>
          <w:rFonts w:eastAsia="Times New Roman"/>
          <w:b/>
          <w:sz w:val="36"/>
        </w:rPr>
        <w:t>taoFPGA: Architecture, Implementation, and Evaluation of a</w:t>
      </w:r>
      <w:r>
        <w:rPr>
          <w:rFonts w:eastAsia="Times New Roman"/>
          <w:b/>
          <w:sz w:val="36"/>
        </w:rPr>
        <w:br/>
        <w:t>Quantized Transformer Processing Core on Edge FPGA</w:t>
      </w:r>
    </w:p>
    <w:p w14:paraId="3125EA7A" w14:textId="77777777" w:rsidR="005A19EE" w:rsidRDefault="00254225">
      <w:pPr>
        <w:spacing w:after="40"/>
        <w:jc w:val="center"/>
      </w:pPr>
      <w:r>
        <w:rPr>
          <w:rFonts w:eastAsia="Times New Roman"/>
          <w:sz w:val="24"/>
        </w:rPr>
        <w:t>Eliran Turgeman, Shay Rask</w:t>
      </w:r>
    </w:p>
    <w:p w14:paraId="16A10A89" w14:textId="77777777" w:rsidR="005A19EE" w:rsidRDefault="00254225">
      <w:pPr>
        <w:spacing w:after="280"/>
        <w:jc w:val="center"/>
      </w:pPr>
      <w:r>
        <w:rPr>
          <w:rFonts w:eastAsia="Times New Roman"/>
          <w:i/>
        </w:rPr>
        <w:t>Faculty of Engineering, Bar-Ilan University</w:t>
      </w:r>
      <w:r>
        <w:rPr>
          <w:rFonts w:eastAsia="Times New Roman"/>
          <w:i/>
        </w:rPr>
        <w:br/>
        <w:t>Academic Supervisor: Dr. Leonid Yavits | Project Mentor: David Freud</w:t>
      </w:r>
    </w:p>
    <w:p w14:paraId="3B1DF6CC" w14:textId="77777777" w:rsidR="005A19EE" w:rsidRDefault="00254225">
      <w:pPr>
        <w:spacing w:after="80"/>
      </w:pPr>
      <w:r>
        <w:rPr>
          <w:rFonts w:eastAsia="Times New Roman"/>
          <w:b/>
          <w:i/>
        </w:rPr>
        <w:t>Abstract—</w:t>
      </w:r>
      <w:r>
        <w:rPr>
          <w:rFonts w:eastAsia="Times New Roman"/>
        </w:rPr>
        <w:t>Transformer models are increasingly deployed on power- and resource-constrained edge devices, where their quadratic attention cost and large dense matrix multiplications strain both compute and memory bandwidth. This paper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w:t>
      </w:r>
      <w:r>
        <w:rPr>
          <w:rFonts w:eastAsia="Times New Roman"/>
        </w:rPr>
        <w:t xml:space="preserve">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w:t>
      </w:r>
      <w:r>
        <w:rPr>
          <w:rFonts w:eastAsia="Times New Roman"/>
        </w:rPr>
        <w:t>tware baseline, achieving up to 97.73× speedup over the board's ARM Cortex-A9 for a representative fused kernel — while explicitly analyzing why the accelerator's fixed pipeline does not structurally correspond to any single Vision Transformer operation, a distinction we treat as a methodological contribution in its own right. We close with a quantified account of the design's remaining hardware constraints, principally a 64 KB single-transfer DMA ceiling, and the Scatter-Gather DMA redesign identified as i</w:t>
      </w:r>
      <w:r>
        <w:rPr>
          <w:rFonts w:eastAsia="Times New Roman"/>
        </w:rPr>
        <w:t>ts prerequisite fix.</w:t>
      </w:r>
    </w:p>
    <w:p w14:paraId="0791BF76" w14:textId="77777777" w:rsidR="005A19EE" w:rsidRDefault="00254225">
      <w:r>
        <w:rPr>
          <w:rFonts w:eastAsia="Times New Roman"/>
          <w:b/>
          <w:i/>
        </w:rPr>
        <w:t>Index Terms—</w:t>
      </w:r>
      <w:r>
        <w:rPr>
          <w:rFonts w:eastAsia="Times New Roman"/>
        </w:rPr>
        <w:t>FPGA, transformer accelerator, systolic array, vision transformer, quantization, Softmax, GELU, Zynq, PYNQ, hardware/software co-design.</w:t>
      </w:r>
    </w:p>
    <w:p w14:paraId="7D6AD30D" w14:textId="77777777" w:rsidR="005A19EE" w:rsidRDefault="005A19EE">
      <w:pPr>
        <w:sectPr w:rsidR="005A19EE">
          <w:pgSz w:w="12240" w:h="15840"/>
          <w:pgMar w:top="1077" w:right="850" w:bottom="1417" w:left="850" w:header="720" w:footer="720" w:gutter="0"/>
          <w:cols w:space="720"/>
          <w:docGrid w:linePitch="360"/>
        </w:sectPr>
      </w:pPr>
    </w:p>
    <w:p w14:paraId="062F9AFA" w14:textId="77777777" w:rsidR="005A19EE" w:rsidRDefault="00254225">
      <w:pPr>
        <w:spacing w:before="240" w:after="120"/>
        <w:jc w:val="center"/>
      </w:pPr>
      <w:r>
        <w:rPr>
          <w:rFonts w:eastAsia="Times New Roman"/>
          <w:b/>
          <w:sz w:val="22"/>
        </w:rPr>
        <w:t>I. INTRODUCTION &amp; MOTIVATION</w:t>
      </w:r>
    </w:p>
    <w:p w14:paraId="6B592908" w14:textId="77777777" w:rsidR="005A19EE" w:rsidRDefault="00254225">
      <w:pPr>
        <w:spacing w:before="160" w:after="80"/>
      </w:pPr>
      <w:r>
        <w:rPr>
          <w:rFonts w:eastAsia="Times New Roman"/>
          <w:b/>
          <w:i/>
        </w:rPr>
        <w:t>A. The Edge AI Compute Dilemma</w:t>
      </w:r>
    </w:p>
    <w:p w14:paraId="56880B4B" w14:textId="77777777" w:rsidR="005A19EE" w:rsidRDefault="00254225">
      <w:pPr>
        <w:spacing w:after="120"/>
        <w:ind w:firstLine="288"/>
        <w:jc w:val="both"/>
      </w:pPr>
      <w:r>
        <w:rPr>
          <w:rFonts w:eastAsia="Times New Roman"/>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w:t>
      </w:r>
      <w:r>
        <w:rPr>
          <w:rFonts w:eastAsia="Times New Roman"/>
        </w:rPr>
        <w:t>nd dedicated non-linear activation units — to close this gap [2]–[5]. This project targets that same design space on a resource-constrained, commodity Zynq-7020 SoC.</w:t>
      </w:r>
    </w:p>
    <w:p w14:paraId="3C2631F6" w14:textId="77777777" w:rsidR="005A19EE" w:rsidRDefault="00254225">
      <w:pPr>
        <w:spacing w:before="160" w:after="80"/>
      </w:pPr>
      <w:r>
        <w:rPr>
          <w:rFonts w:eastAsia="Times New Roman"/>
          <w:b/>
          <w:i/>
        </w:rPr>
        <w:t>B. Design Intent &amp; Methodology</w:t>
      </w:r>
    </w:p>
    <w:p w14:paraId="20576B8F" w14:textId="77777777" w:rsidR="005A19EE" w:rsidRDefault="00254225">
      <w:pPr>
        <w:spacing w:after="120"/>
        <w:ind w:firstLine="288"/>
        <w:jc w:val="both"/>
      </w:pPr>
      <w:r>
        <w:rPr>
          <w:rFonts w:eastAsia="Times New Roman"/>
        </w:rPr>
        <w:t xml:space="preserve">taoFPGA was developed bottom-up: each arithmetic core — the systolic matrix multiplier, the Softmax normalization engine, and the GELU activation unit — was designed and verified in isolation against a real-valued golden reference before being composed into a single streaming pipeline (MatMul → Softmax → GELU), integrated into a complete SoC, physically implemented, and finally evaluated against real Vision Transformer (ViT) workload shapes on physical </w:t>
      </w:r>
      <w:r>
        <w:rPr>
          <w:rFonts w:eastAsia="Times New Roman"/>
        </w:rPr>
        <w:t>hardware. A recurring methodological principle, arrived at empirically over the course of the project, governs every phase: no layer of the system — golden model, integration script, board, register map, or DMA transfer — may be assumed correct on the strength of another layer's correctness. Each was checked directly against its own ground truth.</w:t>
      </w:r>
    </w:p>
    <w:p w14:paraId="54C60179" w14:textId="77777777" w:rsidR="005A19EE" w:rsidRDefault="00254225">
      <w:pPr>
        <w:spacing w:before="160" w:after="80"/>
      </w:pPr>
      <w:r>
        <w:rPr>
          <w:rFonts w:eastAsia="Times New Roman"/>
          <w:b/>
          <w:i/>
        </w:rPr>
        <w:t>C. Key Contributions &amp; Paper Outline</w:t>
      </w:r>
    </w:p>
    <w:p w14:paraId="4B336575" w14:textId="77777777" w:rsidR="005A19EE" w:rsidRDefault="00254225">
      <w:pPr>
        <w:pStyle w:val="a0"/>
        <w:spacing w:after="80"/>
      </w:pPr>
      <w:r>
        <w:rPr>
          <w:rFonts w:eastAsia="Times New Roman"/>
        </w:rPr>
        <w:t>A 16×16 INT8 weight-stationary systolic array fused with dedicated fixed-point Softmax and GELU engines into a single streaming pipeline.</w:t>
      </w:r>
    </w:p>
    <w:p w14:paraId="0DC825EE" w14:textId="77777777" w:rsidR="005A19EE" w:rsidRDefault="00254225">
      <w:pPr>
        <w:pStyle w:val="a0"/>
        <w:spacing w:after="80"/>
      </w:pPr>
      <w:r>
        <w:rPr>
          <w:rFonts w:eastAsia="Times New Roman"/>
        </w:rPr>
        <w:t>A tolerance-bounded verification methodology carried consistently from SystemVerilog RTL simulation through a Python/NumPy golden model validated against physical silicon.</w:t>
      </w:r>
    </w:p>
    <w:p w14:paraId="5263C891" w14:textId="77777777" w:rsidR="005A19EE" w:rsidRDefault="00254225">
      <w:pPr>
        <w:pStyle w:val="a0"/>
        <w:spacing w:after="80"/>
      </w:pPr>
      <w:r>
        <w:rPr>
          <w:rFonts w:eastAsia="Times New Roman"/>
        </w:rPr>
        <w:t>Identification and correction of a synthesis-level DSP-inference defect, reducing LUT utilization by 49.3% and total on-chip power by 3.1% at signoff.</w:t>
      </w:r>
    </w:p>
    <w:p w14:paraId="591249DA" w14:textId="77777777" w:rsidR="005A19EE" w:rsidRDefault="00254225">
      <w:pPr>
        <w:pStyle w:val="a0"/>
        <w:spacing w:after="80"/>
      </w:pPr>
      <w:r>
        <w:rPr>
          <w:rFonts w:eastAsia="Times New Roman"/>
        </w:rPr>
        <w:t>First physical hardware validation of the design on a PYNQ-Z2, matching simulation to zero error across 32,000 output elements at full scale.</w:t>
      </w:r>
    </w:p>
    <w:p w14:paraId="2DA80E9B" w14:textId="77777777" w:rsidR="005A19EE" w:rsidRDefault="00254225">
      <w:pPr>
        <w:pStyle w:val="a0"/>
        <w:spacing w:after="80"/>
      </w:pPr>
      <w:r>
        <w:rPr>
          <w:rFonts w:eastAsia="Times New Roman"/>
        </w:rPr>
        <w:t xml:space="preserve">A kernel-level hardware/software benchmark against a real, numerically validated ViT-Tiny baseline, reporting up to 97.73× measured speedup together with an explicit </w:t>
      </w:r>
      <w:r>
        <w:rPr>
          <w:rFonts w:eastAsia="Times New Roman"/>
        </w:rPr>
        <w:lastRenderedPageBreak/>
        <w:t>architectural analysis of why the accelerator's fixed pipeline does not map onto any single ViT operation.</w:t>
      </w:r>
    </w:p>
    <w:p w14:paraId="2345250E" w14:textId="77777777" w:rsidR="005A19EE" w:rsidRDefault="00254225">
      <w:pPr>
        <w:pStyle w:val="a0"/>
        <w:spacing w:after="80"/>
      </w:pPr>
      <w:r>
        <w:rPr>
          <w:rFonts w:eastAsia="Times New Roman"/>
        </w:rPr>
        <w:t>A quantified account of the design's open hardware constraints — principally a 64 KB DMA transfer ceiling — and the re-synthesis path identified to resolve them.</w:t>
      </w:r>
    </w:p>
    <w:p w14:paraId="2EAB4E46" w14:textId="77777777" w:rsidR="005A19EE" w:rsidRDefault="00254225">
      <w:pPr>
        <w:spacing w:after="120"/>
        <w:ind w:firstLine="288"/>
        <w:jc w:val="both"/>
      </w:pPr>
      <w:r>
        <w:rPr>
          <w:rFonts w:eastAsia="Times New Roman"/>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14:paraId="7CE69224" w14:textId="77777777" w:rsidR="005A19EE" w:rsidRDefault="00254225">
      <w:pPr>
        <w:spacing w:before="240" w:after="120"/>
        <w:jc w:val="center"/>
      </w:pPr>
      <w:r>
        <w:rPr>
          <w:rFonts w:eastAsia="Times New Roman"/>
          <w:b/>
          <w:sz w:val="22"/>
        </w:rPr>
        <w:t>II. CORE HARDWARE ARCHITECTURE &amp; MATHEMATICAL FORMULATION</w:t>
      </w:r>
    </w:p>
    <w:p w14:paraId="3481708E" w14:textId="77777777" w:rsidR="005A19EE" w:rsidRDefault="00254225">
      <w:pPr>
        <w:spacing w:before="160" w:after="80"/>
      </w:pPr>
      <w:r>
        <w:rPr>
          <w:rFonts w:eastAsia="Times New Roman"/>
          <w:b/>
          <w:i/>
        </w:rPr>
        <w:t>A. Systolic Matrix Multiplication Core</w:t>
      </w:r>
    </w:p>
    <w:p w14:paraId="64C7CCA1" w14:textId="77777777" w:rsidR="005A19EE" w:rsidRDefault="00254225">
      <w:pPr>
        <w:spacing w:after="120"/>
        <w:ind w:firstLine="288"/>
        <w:jc w:val="both"/>
      </w:pPr>
      <w:r>
        <w:rPr>
          <w:rFonts w:eastAsia="Times New Roman"/>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w:t>
      </w:r>
      <w:r>
        <w:rPr>
          <w:rFonts w:eastAsia="Times New Roman"/>
        </w:rPr>
        <w: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w:t>
      </w:r>
    </w:p>
    <w:p w14:paraId="60021C8B" w14:textId="77777777" w:rsidR="005A19EE" w:rsidRDefault="00254225">
      <w:pPr>
        <w:spacing w:before="160" w:after="80"/>
      </w:pPr>
      <w:r>
        <w:rPr>
          <w:rFonts w:eastAsia="Times New Roman"/>
          <w:b/>
          <w:i/>
        </w:rPr>
        <w:t>B. Fixed-Point Non-Linear Arithmetic Engines</w:t>
      </w:r>
    </w:p>
    <w:p w14:paraId="4C0DFB74" w14:textId="77777777" w:rsidR="005A19EE" w:rsidRDefault="00254225">
      <w:pPr>
        <w:spacing w:after="120"/>
        <w:ind w:firstLine="288"/>
        <w:jc w:val="both"/>
      </w:pPr>
      <w:r>
        <w:rPr>
          <w:rFonts w:eastAsia="Times New Roman"/>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w:t>
      </w:r>
      <w:r>
        <w:rPr>
          <w:rFonts w:eastAsia="Times New Roman"/>
        </w:rPr>
        <w:t xml:space="preserve">alized value exp(x−max−ln(Σ)) using a second instance of the same exponential unit combined with a piecewise logarithm approximation (Ln_module) to avoid an explicit division. The GELU activation (gelu.v) is a two-segment piecewise-linear approximation: inputs beyond a fixed saturation threshold pass </w:t>
      </w:r>
      <w:r>
        <w:rPr>
          <w:rFonts w:eastAsia="Times New Roman"/>
        </w:rPr>
        <w:t>through unmodified or clamp to zero according to sign, and inputs within that range are computed via a linear correction term generated by a dedicated interpolation submodule (lin.v).</w:t>
      </w:r>
    </w:p>
    <w:p w14:paraId="4F746DC0" w14:textId="77777777" w:rsidR="005A19EE" w:rsidRDefault="00254225">
      <w:pPr>
        <w:spacing w:before="160" w:after="80"/>
      </w:pPr>
      <w:r>
        <w:rPr>
          <w:rFonts w:eastAsia="Times New Roman"/>
          <w:b/>
          <w:i/>
        </w:rPr>
        <w:t>C. Numerical Quantization Strategy</w:t>
      </w:r>
    </w:p>
    <w:p w14:paraId="40A34C12" w14:textId="77777777" w:rsidR="005A19EE" w:rsidRDefault="00254225">
      <w:pPr>
        <w:spacing w:after="120"/>
        <w:ind w:firstLine="288"/>
        <w:jc w:val="both"/>
      </w:pPr>
      <w:r>
        <w:rPr>
          <w:rFonts w:eastAsia="Times New Roman"/>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14:paraId="53AA28E7" w14:textId="77777777" w:rsidR="005A19EE" w:rsidRDefault="00254225">
      <w:pPr>
        <w:spacing w:before="240" w:after="120"/>
        <w:jc w:val="center"/>
      </w:pPr>
      <w:r>
        <w:rPr>
          <w:rFonts w:eastAsia="Times New Roman"/>
          <w:b/>
          <w:sz w:val="22"/>
        </w:rPr>
        <w:t>III. RTL VERIFICATION &amp; BEHAVIORAL SIMULATION (CADENCE XCELIUM)</w:t>
      </w:r>
    </w:p>
    <w:p w14:paraId="41F00201" w14:textId="77777777" w:rsidR="005A19EE" w:rsidRDefault="00254225">
      <w:pPr>
        <w:spacing w:before="160" w:after="80"/>
      </w:pPr>
      <w:r>
        <w:rPr>
          <w:rFonts w:eastAsia="Times New Roman"/>
          <w:b/>
          <w:i/>
        </w:rPr>
        <w:t>A. Testbench Architecture &amp; Golden Reference Model</w:t>
      </w:r>
    </w:p>
    <w:p w14:paraId="2F89C345" w14:textId="77777777" w:rsidR="005A19EE" w:rsidRDefault="00254225">
      <w:pPr>
        <w:spacing w:after="120"/>
        <w:ind w:firstLine="288"/>
        <w:jc w:val="both"/>
      </w:pPr>
      <w:r>
        <w:rPr>
          <w:rFonts w:eastAsia="Times New Roman"/>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14:paraId="5314FEEA" w14:textId="77777777" w:rsidR="005A19EE" w:rsidRDefault="00254225">
      <w:pPr>
        <w:spacing w:before="160" w:after="80"/>
      </w:pPr>
      <w:r>
        <w:rPr>
          <w:rFonts w:eastAsia="Times New Roman"/>
          <w:b/>
          <w:i/>
        </w:rPr>
        <w:t>B. Simulation Results &amp; Numerical Precision Verification</w:t>
      </w:r>
    </w:p>
    <w:p w14:paraId="67843078" w14:textId="77777777" w:rsidR="005A19EE" w:rsidRDefault="00254225">
      <w:pPr>
        <w:spacing w:after="120"/>
        <w:ind w:firstLine="288"/>
        <w:jc w:val="both"/>
      </w:pPr>
      <w:r>
        <w:rPr>
          <w:rFonts w:eastAsia="Times New Roman"/>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14:paraId="55446726" w14:textId="77777777" w:rsidR="005A19EE" w:rsidRDefault="00254225">
      <w:pPr>
        <w:spacing w:before="160" w:after="80"/>
      </w:pPr>
      <w:r>
        <w:rPr>
          <w:rFonts w:eastAsia="Times New Roman"/>
          <w:b/>
          <w:i/>
        </w:rPr>
        <w:t>C. Pre-Silicon Logic Debugging</w:t>
      </w:r>
    </w:p>
    <w:p w14:paraId="3C360ACD" w14:textId="77777777" w:rsidR="005A19EE" w:rsidRDefault="00254225">
      <w:pPr>
        <w:spacing w:after="120"/>
        <w:ind w:firstLine="288"/>
        <w:jc w:val="both"/>
      </w:pPr>
      <w:r>
        <w:rPr>
          <w:rFonts w:eastAsia="Times New Roman"/>
        </w:rPr>
        <w:t>Three representative issues surfaced during simulation bring-up: a stimulus-side forward-reference bug in a testbench control signal; an Xcelium elaboration-time memory blowup traced to a generate-loop-unrolled per-scalar wire array that scaled combinatorially with matrix size, resolved by replacing it with an on-demand packing function; and a datapath port declared as output reg rather than output wire, which was silently dropped during elaboration rather than flagged as an error.</w:t>
      </w:r>
    </w:p>
    <w:p w14:paraId="004926D4" w14:textId="77777777" w:rsidR="005A19EE" w:rsidRDefault="00254225">
      <w:pPr>
        <w:spacing w:before="240" w:after="120"/>
        <w:jc w:val="center"/>
      </w:pPr>
      <w:r>
        <w:rPr>
          <w:rFonts w:eastAsia="Times New Roman"/>
          <w:b/>
          <w:sz w:val="22"/>
        </w:rPr>
        <w:t>IV. SOC INTEGRATION &amp; HARDWARE PLATFORM DESIGN (PYNQ-Z2 / ZYNQ-7020)</w:t>
      </w:r>
    </w:p>
    <w:p w14:paraId="11634A04" w14:textId="77777777" w:rsidR="005A19EE" w:rsidRDefault="00254225">
      <w:pPr>
        <w:spacing w:before="160" w:after="80"/>
      </w:pPr>
      <w:r>
        <w:rPr>
          <w:rFonts w:eastAsia="Times New Roman"/>
          <w:b/>
          <w:i/>
        </w:rPr>
        <w:lastRenderedPageBreak/>
        <w:t>A. SoC Architecture</w:t>
      </w:r>
    </w:p>
    <w:p w14:paraId="291B3B5F" w14:textId="77777777" w:rsidR="005A19EE" w:rsidRDefault="00254225">
      <w:pPr>
        <w:spacing w:after="120"/>
        <w:ind w:firstLine="288"/>
        <w:jc w:val="both"/>
      </w:pPr>
      <w:r>
        <w:rPr>
          <w:rFonts w:eastAsia="Times New Roman"/>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w:t>
      </w:r>
    </w:p>
    <w:p w14:paraId="14C16B09" w14:textId="77777777" w:rsidR="005A19EE" w:rsidRDefault="00254225">
      <w:pPr>
        <w:spacing w:before="160" w:after="80"/>
      </w:pPr>
      <w:r>
        <w:rPr>
          <w:rFonts w:eastAsia="Times New Roman"/>
          <w:b/>
          <w:i/>
        </w:rPr>
        <w:t>B. Physical Adaptations for Board Deployment</w:t>
      </w:r>
    </w:p>
    <w:p w14:paraId="5B33F4CF" w14:textId="77777777" w:rsidR="005A19EE" w:rsidRDefault="00254225">
      <w:pPr>
        <w:spacing w:after="120"/>
        <w:ind w:firstLine="288"/>
        <w:jc w:val="both"/>
      </w:pPr>
      <w:r>
        <w:rPr>
          <w:rFonts w:eastAsia="Times New Roman"/>
        </w:rPr>
        <w:t>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Second, b</w:t>
      </w:r>
      <w:r>
        <w:rPr>
          <w:rFonts w:eastAsia="Times New Roman"/>
        </w:rPr>
        <w:t>ridging the array's A_size-wide parallel datapath to Softmax's serial, one-scalar-per-cycle interface (and back to GELU's narrower parallel lanes) required bespoke AXI4-Stream width converters and a purpose-built row-boundary signal, since the matmul core's own frame-completion signal marks only the end of the entire matrix, not each row.</w:t>
      </w:r>
    </w:p>
    <w:p w14:paraId="7343A068" w14:textId="77777777" w:rsidR="005A19EE" w:rsidRDefault="00254225">
      <w:pPr>
        <w:spacing w:before="160" w:after="80"/>
      </w:pPr>
      <w:r>
        <w:rPr>
          <w:rFonts w:eastAsia="Times New Roman"/>
          <w:b/>
          <w:i/>
        </w:rPr>
        <w:t>C. Software Infrastructure for Hardware Bring-Up</w:t>
      </w:r>
    </w:p>
    <w:p w14:paraId="046DB59D" w14:textId="77777777" w:rsidR="005A19EE" w:rsidRDefault="00254225">
      <w:pPr>
        <w:spacing w:after="120"/>
        <w:ind w:firstLine="288"/>
        <w:jc w:val="both"/>
      </w:pPr>
      <w:r>
        <w:rPr>
          <w:rFonts w:eastAsia="Times New Roman"/>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14:paraId="7FDCF703" w14:textId="77777777" w:rsidR="005A19EE" w:rsidRDefault="00254225">
      <w:pPr>
        <w:spacing w:before="240" w:after="120"/>
        <w:jc w:val="center"/>
      </w:pPr>
      <w:r>
        <w:rPr>
          <w:rFonts w:eastAsia="Times New Roman"/>
          <w:b/>
          <w:sz w:val="22"/>
        </w:rPr>
        <w:t>V. PHYSICAL IMPLEMENTATION, P&amp;R, AND SIGN-OFF OPTIMIZATIONS</w:t>
      </w:r>
    </w:p>
    <w:p w14:paraId="5AFD2A05" w14:textId="77777777" w:rsidR="005A19EE" w:rsidRDefault="00254225">
      <w:pPr>
        <w:spacing w:before="160" w:after="80"/>
      </w:pPr>
      <w:r>
        <w:rPr>
          <w:rFonts w:eastAsia="Times New Roman"/>
          <w:b/>
          <w:i/>
        </w:rPr>
        <w:t>A. Baseline Physical Sign-Off</w:t>
      </w:r>
    </w:p>
    <w:p w14:paraId="3D41EC71" w14:textId="77777777" w:rsidR="005A19EE" w:rsidRDefault="00254225">
      <w:pPr>
        <w:spacing w:after="120"/>
        <w:ind w:firstLine="288"/>
        <w:jc w:val="both"/>
      </w:pPr>
      <w:r>
        <w:rPr>
          <w:rFonts w:eastAsia="Times New Roman"/>
        </w:rPr>
        <w:t>The first complete post-route signoff of the full SoC closed timing at the 100 MHz target with a Worst Negative Slack (WNS) of +0.361 ns and a Vivado-estimated total on-chip power of 1.741 W (1.590 W dynamic, 0.151 W static).</w:t>
      </w:r>
    </w:p>
    <w:p w14:paraId="251870BC" w14:textId="77777777" w:rsidR="005A19EE" w:rsidRDefault="00254225">
      <w:pPr>
        <w:spacing w:before="160" w:after="80"/>
      </w:pPr>
      <w:r>
        <w:rPr>
          <w:rFonts w:eastAsia="Times New Roman"/>
          <w:b/>
          <w:i/>
        </w:rPr>
        <w:t>B. The DSP Inference Gap &amp; Attribute Resolution</w:t>
      </w:r>
    </w:p>
    <w:p w14:paraId="35A9B34A" w14:textId="77777777" w:rsidR="005A19EE" w:rsidRDefault="00254225">
      <w:pPr>
        <w:spacing w:after="120"/>
        <w:ind w:firstLine="288"/>
        <w:jc w:val="both"/>
      </w:pPr>
      <w:r>
        <w:rPr>
          <w:rFonts w:eastAsia="Times New Roman"/>
        </w:rPr>
        <w:t xml:space="preserve">Post-route utilization at this baseline was LUT-bound rather than DSP-bound: only 13 of 220 available DSP48E1 slices (5.91%) were in use while Slice LUTs sat at 56.91%, despite the 256-MAC systolic array being the design's dominant arithmetic structure — a strong signal that the array's </w:t>
      </w:r>
      <w:r>
        <w:rPr>
          <w:rFonts w:eastAsia="Times New Roman"/>
        </w:rPr>
        <w:t>multiply-accumulate operations were being synthesized into general LUT/CARRY4 fabric instead of dedicated DSP hard macros. Root-causing traced this to a synthesis attribute scoped at the wrong granularity relative to Vivado's register-level DSP inference rules (cf. Xilinx UG901 [6]), silently ignored rather than reported as an error. Correcting it moved the systolic array's multiplications onto DSP48E1 hard macros, reducing full-SoC post-route Slice LUTs by 49.3% (30,276 → 15,363) and CARRY4 primitives by 6</w:t>
      </w:r>
      <w:r>
        <w:rPr>
          <w:rFonts w:eastAsia="Times New Roman"/>
        </w:rPr>
        <w:t>1.8% (4,874 → 1,862), while total on-chip power fell 3.1% to 1.687 W.</w:t>
      </w:r>
    </w:p>
    <w:p w14:paraId="4A4FF34D" w14:textId="77777777" w:rsidR="005A19EE" w:rsidRDefault="00254225">
      <w:pPr>
        <w:spacing w:before="160" w:after="80"/>
      </w:pPr>
      <w:r>
        <w:rPr>
          <w:rFonts w:eastAsia="Times New Roman"/>
          <w:b/>
          <w:i/>
        </w:rPr>
        <w:t>C. Physical Congestion vs. Timing Trade-Off</w:t>
      </w:r>
    </w:p>
    <w:p w14:paraId="7835AD82" w14:textId="77777777" w:rsidR="005A19EE" w:rsidRDefault="00254225">
      <w:pPr>
        <w:spacing w:after="120"/>
        <w:ind w:firstLine="288"/>
        <w:jc w:val="both"/>
      </w:pPr>
      <w:r>
        <w:rPr>
          <w:rFonts w:eastAsia="Times New Roman"/>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p w14:paraId="3E4E3A94" w14:textId="77777777" w:rsidR="005A19EE" w:rsidRDefault="00254225">
      <w:pPr>
        <w:spacing w:before="160" w:after="80"/>
      </w:pPr>
      <w:r>
        <w:rPr>
          <w:rFonts w:eastAsia="Times New Roman"/>
          <w:b/>
          <w:i/>
        </w:rPr>
        <w:t>D. Bitstream &amp; Hardware Platform Sign-Off</w:t>
      </w:r>
    </w:p>
    <w:p w14:paraId="5A2A1E66" w14:textId="77777777" w:rsidR="005A19EE" w:rsidRDefault="00254225">
      <w:pPr>
        <w:spacing w:after="120"/>
        <w:ind w:firstLine="288"/>
        <w:jc w:val="both"/>
      </w:pPr>
      <w:r>
        <w:rPr>
          <w:rFonts w:eastAsia="Times New Roman"/>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14:paraId="1CDD18B5" w14:textId="77777777" w:rsidR="005A19EE" w:rsidRDefault="00254225">
      <w:pPr>
        <w:spacing w:before="120" w:after="40"/>
        <w:jc w:val="center"/>
      </w:pPr>
      <w:r>
        <w:rPr>
          <w:rFonts w:eastAsia="Times New Roman"/>
          <w:sz w:val="18"/>
        </w:rPr>
        <w:t>TABLE I. POST-ROUTE SIGNOFF METRICS, BEFORE/AFTER THE DSP-INFERENCE FIX</w:t>
      </w:r>
    </w:p>
    <w:tbl>
      <w:tblPr>
        <w:tblStyle w:val="-11"/>
        <w:tblW w:w="0" w:type="auto"/>
        <w:tblLook w:val="04A0" w:firstRow="1" w:lastRow="0" w:firstColumn="1" w:lastColumn="0" w:noHBand="0" w:noVBand="1"/>
      </w:tblPr>
      <w:tblGrid>
        <w:gridCol w:w="1364"/>
        <w:gridCol w:w="1339"/>
        <w:gridCol w:w="1339"/>
        <w:gridCol w:w="1264"/>
      </w:tblGrid>
      <w:tr w:rsidR="005A19EE" w14:paraId="45748244" w14:textId="77777777" w:rsidTr="005A1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9098F93" w14:textId="77777777" w:rsidR="005A19EE" w:rsidRDefault="00254225">
            <w:r>
              <w:rPr>
                <w:rFonts w:eastAsia="Times New Roman"/>
                <w:sz w:val="17"/>
              </w:rPr>
              <w:t>Metric</w:t>
            </w:r>
          </w:p>
        </w:tc>
        <w:tc>
          <w:tcPr>
            <w:tcW w:w="2635" w:type="dxa"/>
          </w:tcPr>
          <w:p w14:paraId="2ED5E09B"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Before fix</w:t>
            </w:r>
          </w:p>
        </w:tc>
        <w:tc>
          <w:tcPr>
            <w:tcW w:w="2635" w:type="dxa"/>
          </w:tcPr>
          <w:p w14:paraId="5E166ADB"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After fix</w:t>
            </w:r>
          </w:p>
        </w:tc>
        <w:tc>
          <w:tcPr>
            <w:tcW w:w="2635" w:type="dxa"/>
          </w:tcPr>
          <w:p w14:paraId="1D0E3784"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Δ</w:t>
            </w:r>
          </w:p>
        </w:tc>
      </w:tr>
      <w:tr w:rsidR="005A19EE" w14:paraId="4D0D6BE0" w14:textId="77777777" w:rsidTr="005A1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1B65734" w14:textId="77777777" w:rsidR="005A19EE" w:rsidRDefault="00254225">
            <w:r>
              <w:rPr>
                <w:rFonts w:eastAsia="Times New Roman"/>
                <w:b w:val="0"/>
                <w:sz w:val="17"/>
              </w:rPr>
              <w:t>Slice LUTs (post-route, full SoC)</w:t>
            </w:r>
          </w:p>
        </w:tc>
        <w:tc>
          <w:tcPr>
            <w:tcW w:w="2635" w:type="dxa"/>
          </w:tcPr>
          <w:p w14:paraId="6B3C19F7"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30,276 (56.91%)</w:t>
            </w:r>
          </w:p>
        </w:tc>
        <w:tc>
          <w:tcPr>
            <w:tcW w:w="2635" w:type="dxa"/>
          </w:tcPr>
          <w:p w14:paraId="7BBCFBC8"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15,363 (28.88%)</w:t>
            </w:r>
          </w:p>
        </w:tc>
        <w:tc>
          <w:tcPr>
            <w:tcW w:w="2635" w:type="dxa"/>
          </w:tcPr>
          <w:p w14:paraId="1C142CF5"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−49.3%</w:t>
            </w:r>
          </w:p>
        </w:tc>
      </w:tr>
      <w:tr w:rsidR="005A19EE" w14:paraId="4962FA37" w14:textId="77777777" w:rsidTr="005A19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6F0450C" w14:textId="77777777" w:rsidR="005A19EE" w:rsidRDefault="00254225">
            <w:r>
              <w:rPr>
                <w:rFonts w:eastAsia="Times New Roman"/>
                <w:b w:val="0"/>
                <w:sz w:val="17"/>
              </w:rPr>
              <w:t>CARRY4 (post-route, full SoC)</w:t>
            </w:r>
          </w:p>
        </w:tc>
        <w:tc>
          <w:tcPr>
            <w:tcW w:w="2635" w:type="dxa"/>
          </w:tcPr>
          <w:p w14:paraId="1A959A94"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4,874</w:t>
            </w:r>
          </w:p>
        </w:tc>
        <w:tc>
          <w:tcPr>
            <w:tcW w:w="2635" w:type="dxa"/>
          </w:tcPr>
          <w:p w14:paraId="7857E299"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1,862</w:t>
            </w:r>
          </w:p>
        </w:tc>
        <w:tc>
          <w:tcPr>
            <w:tcW w:w="2635" w:type="dxa"/>
          </w:tcPr>
          <w:p w14:paraId="5E9D08AF"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−61.8%</w:t>
            </w:r>
          </w:p>
        </w:tc>
      </w:tr>
      <w:tr w:rsidR="005A19EE" w14:paraId="328EC987" w14:textId="77777777" w:rsidTr="005A1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525E53F" w14:textId="77777777" w:rsidR="005A19EE" w:rsidRDefault="00254225">
            <w:r>
              <w:rPr>
                <w:rFonts w:eastAsia="Times New Roman"/>
                <w:b w:val="0"/>
                <w:sz w:val="17"/>
              </w:rPr>
              <w:t>DSP48E1</w:t>
            </w:r>
          </w:p>
        </w:tc>
        <w:tc>
          <w:tcPr>
            <w:tcW w:w="2635" w:type="dxa"/>
          </w:tcPr>
          <w:p w14:paraId="49D896D9"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13 (5.91%)</w:t>
            </w:r>
          </w:p>
        </w:tc>
        <w:tc>
          <w:tcPr>
            <w:tcW w:w="2635" w:type="dxa"/>
          </w:tcPr>
          <w:p w14:paraId="151FF181"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205 (93.18%)</w:t>
            </w:r>
          </w:p>
        </w:tc>
        <w:tc>
          <w:tcPr>
            <w:tcW w:w="2635" w:type="dxa"/>
          </w:tcPr>
          <w:p w14:paraId="0580A035"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+192</w:t>
            </w:r>
          </w:p>
        </w:tc>
      </w:tr>
      <w:tr w:rsidR="005A19EE" w14:paraId="4FAC2423" w14:textId="77777777" w:rsidTr="005A19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AD60355" w14:textId="77777777" w:rsidR="005A19EE" w:rsidRDefault="00254225">
            <w:r>
              <w:rPr>
                <w:rFonts w:eastAsia="Times New Roman"/>
                <w:b w:val="0"/>
                <w:sz w:val="17"/>
              </w:rPr>
              <w:t>WNS @ 100 MHz</w:t>
            </w:r>
          </w:p>
        </w:tc>
        <w:tc>
          <w:tcPr>
            <w:tcW w:w="2635" w:type="dxa"/>
          </w:tcPr>
          <w:p w14:paraId="6F4A8BB3"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+0.361 ns</w:t>
            </w:r>
          </w:p>
        </w:tc>
        <w:tc>
          <w:tcPr>
            <w:tcW w:w="2635" w:type="dxa"/>
          </w:tcPr>
          <w:p w14:paraId="19DE383B"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+0.293 ns</w:t>
            </w:r>
          </w:p>
        </w:tc>
        <w:tc>
          <w:tcPr>
            <w:tcW w:w="2635" w:type="dxa"/>
          </w:tcPr>
          <w:p w14:paraId="7D1FFFFA"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−19% margin</w:t>
            </w:r>
          </w:p>
        </w:tc>
      </w:tr>
      <w:tr w:rsidR="005A19EE" w14:paraId="740F6BAA" w14:textId="77777777" w:rsidTr="005A1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9F3388C" w14:textId="77777777" w:rsidR="005A19EE" w:rsidRDefault="00254225">
            <w:r>
              <w:rPr>
                <w:rFonts w:eastAsia="Times New Roman"/>
                <w:b w:val="0"/>
                <w:sz w:val="17"/>
              </w:rPr>
              <w:t>Total on-chip power</w:t>
            </w:r>
          </w:p>
        </w:tc>
        <w:tc>
          <w:tcPr>
            <w:tcW w:w="2635" w:type="dxa"/>
          </w:tcPr>
          <w:p w14:paraId="22CD0091"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1.741 W</w:t>
            </w:r>
          </w:p>
        </w:tc>
        <w:tc>
          <w:tcPr>
            <w:tcW w:w="2635" w:type="dxa"/>
          </w:tcPr>
          <w:p w14:paraId="2D9B8CE0"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1.687 W</w:t>
            </w:r>
          </w:p>
        </w:tc>
        <w:tc>
          <w:tcPr>
            <w:tcW w:w="2635" w:type="dxa"/>
          </w:tcPr>
          <w:p w14:paraId="43782AD1"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−3.1%</w:t>
            </w:r>
          </w:p>
        </w:tc>
      </w:tr>
    </w:tbl>
    <w:p w14:paraId="0EA24D80" w14:textId="77777777" w:rsidR="005A19EE" w:rsidRDefault="005A19EE">
      <w:pPr>
        <w:spacing w:after="160"/>
      </w:pPr>
    </w:p>
    <w:p w14:paraId="0383DAFB" w14:textId="77777777" w:rsidR="005A19EE" w:rsidRDefault="00254225">
      <w:pPr>
        <w:spacing w:before="240" w:after="120"/>
        <w:jc w:val="center"/>
      </w:pPr>
      <w:r>
        <w:rPr>
          <w:rFonts w:eastAsia="Times New Roman"/>
          <w:b/>
          <w:sz w:val="22"/>
        </w:rPr>
        <w:t>VI. EXPERIMENTAL EVALUATION &amp; HARDWARE BRING-UP</w:t>
      </w:r>
    </w:p>
    <w:p w14:paraId="74747A7D" w14:textId="77777777" w:rsidR="005A19EE" w:rsidRDefault="00254225">
      <w:pPr>
        <w:spacing w:before="160" w:after="80"/>
      </w:pPr>
      <w:r>
        <w:rPr>
          <w:rFonts w:eastAsia="Times New Roman"/>
          <w:b/>
          <w:i/>
        </w:rPr>
        <w:t>A. Benchmarking Methodology</w:t>
      </w:r>
    </w:p>
    <w:p w14:paraId="338C0D2A" w14:textId="77777777" w:rsidR="005A19EE" w:rsidRDefault="00254225">
      <w:pPr>
        <w:spacing w:after="120"/>
        <w:ind w:firstLine="288"/>
        <w:jc w:val="both"/>
      </w:pPr>
      <w:r>
        <w:rPr>
          <w:rFonts w:eastAsia="Times New Roman"/>
        </w:rPr>
        <w:t xml:space="preserve">Hardware kernel throughput was benchmarked on the physical PYNQ-Z2 against two matrix shapes representative of ViT-Tiny's real layer dimensions (embedding dimension 192, sequence length 197): a 192×192 projection-sized kernel and a 192×320 MLP-shaped kernel, each compared against an </w:t>
      </w:r>
      <w:r>
        <w:rPr>
          <w:rFonts w:eastAsia="Times New Roman"/>
        </w:rPr>
        <w:lastRenderedPageBreak/>
        <w:t>equivalent computation of the identical fused matmul-Softmax-GELU operation executed on the board's ARM Cortex-A9.</w:t>
      </w:r>
    </w:p>
    <w:p w14:paraId="1EE1D28F" w14:textId="77777777" w:rsidR="005A19EE" w:rsidRDefault="00254225">
      <w:pPr>
        <w:spacing w:before="160" w:after="80"/>
      </w:pPr>
      <w:r>
        <w:rPr>
          <w:rFonts w:eastAsia="Times New Roman"/>
          <w:b/>
          <w:i/>
        </w:rPr>
        <w:t>B. Performance Metrics &amp; Acceleration</w:t>
      </w:r>
    </w:p>
    <w:p w14:paraId="58578AAB" w14:textId="77777777" w:rsidR="005A19EE" w:rsidRDefault="00254225">
      <w:pPr>
        <w:spacing w:after="120"/>
        <w:ind w:firstLine="288"/>
        <w:jc w:val="both"/>
      </w:pPr>
      <w:r>
        <w:rPr>
          <w:rFonts w:eastAsia="Times New Roman"/>
        </w:rPr>
        <w:t>The hardware kernel achieved 2.487 GOP/s and 3.795 GOP/s on the two benchmarked shapes respectively, against 0.036 and 0.039 GOP/s on the CPU — measured speedups of 70.0× and 97.73× for the identical operation. Figs. 1–3 present latency, throughput, and speedup for both shapes.</w:t>
      </w:r>
    </w:p>
    <w:p w14:paraId="316FB058" w14:textId="77777777" w:rsidR="005A19EE" w:rsidRDefault="00254225">
      <w:pPr>
        <w:spacing w:before="120"/>
        <w:jc w:val="center"/>
      </w:pPr>
      <w:r>
        <w:rPr>
          <w:noProof/>
        </w:rPr>
        <w:drawing>
          <wp:inline distT="0" distB="0" distL="0" distR="0" wp14:anchorId="2D41511E" wp14:editId="3DD1BB8C">
            <wp:extent cx="3108960" cy="1986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6"/>
                    <a:stretch>
                      <a:fillRect/>
                    </a:stretch>
                  </pic:blipFill>
                  <pic:spPr>
                    <a:xfrm>
                      <a:off x="0" y="0"/>
                      <a:ext cx="3108960" cy="1986280"/>
                    </a:xfrm>
                    <a:prstGeom prst="rect">
                      <a:avLst/>
                    </a:prstGeom>
                  </pic:spPr>
                </pic:pic>
              </a:graphicData>
            </a:graphic>
          </wp:inline>
        </w:drawing>
      </w:r>
    </w:p>
    <w:p w14:paraId="24CCDADD" w14:textId="77777777" w:rsidR="005A19EE" w:rsidRDefault="00254225">
      <w:pPr>
        <w:jc w:val="center"/>
      </w:pPr>
      <w:r>
        <w:rPr>
          <w:rFonts w:eastAsia="Times New Roman"/>
          <w:i/>
          <w:sz w:val="18"/>
        </w:rPr>
        <w:t>Fig. 1. Latency, CPU vs. hardware, both benchmarked shapes.</w:t>
      </w:r>
    </w:p>
    <w:p w14:paraId="61F52148" w14:textId="77777777" w:rsidR="005A19EE" w:rsidRDefault="00254225">
      <w:pPr>
        <w:spacing w:before="120"/>
        <w:jc w:val="center"/>
      </w:pPr>
      <w:r>
        <w:rPr>
          <w:noProof/>
        </w:rPr>
        <w:drawing>
          <wp:inline distT="0" distB="0" distL="0" distR="0" wp14:anchorId="3214C6EC" wp14:editId="62201623">
            <wp:extent cx="3108960" cy="1986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7"/>
                    <a:stretch>
                      <a:fillRect/>
                    </a:stretch>
                  </pic:blipFill>
                  <pic:spPr>
                    <a:xfrm>
                      <a:off x="0" y="0"/>
                      <a:ext cx="3108960" cy="1986280"/>
                    </a:xfrm>
                    <a:prstGeom prst="rect">
                      <a:avLst/>
                    </a:prstGeom>
                  </pic:spPr>
                </pic:pic>
              </a:graphicData>
            </a:graphic>
          </wp:inline>
        </w:drawing>
      </w:r>
    </w:p>
    <w:p w14:paraId="140AAE8F" w14:textId="77777777" w:rsidR="005A19EE" w:rsidRDefault="00254225">
      <w:pPr>
        <w:jc w:val="center"/>
      </w:pPr>
      <w:r>
        <w:rPr>
          <w:rFonts w:eastAsia="Times New Roman"/>
          <w:i/>
          <w:sz w:val="18"/>
        </w:rPr>
        <w:t>Fig. 2. Throughput (GOP/s), CPU vs. hardware, both shapes.</w:t>
      </w:r>
    </w:p>
    <w:p w14:paraId="78D770E6" w14:textId="77777777" w:rsidR="005A19EE" w:rsidRDefault="00254225">
      <w:pPr>
        <w:spacing w:before="120"/>
        <w:jc w:val="center"/>
      </w:pPr>
      <w:r>
        <w:rPr>
          <w:noProof/>
        </w:rPr>
        <w:drawing>
          <wp:inline distT="0" distB="0" distL="0" distR="0" wp14:anchorId="03FE24B8" wp14:editId="47D35ED1">
            <wp:extent cx="3108960" cy="1986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_factor.png"/>
                    <pic:cNvPicPr/>
                  </pic:nvPicPr>
                  <pic:blipFill>
                    <a:blip r:embed="rId8"/>
                    <a:stretch>
                      <a:fillRect/>
                    </a:stretch>
                  </pic:blipFill>
                  <pic:spPr>
                    <a:xfrm>
                      <a:off x="0" y="0"/>
                      <a:ext cx="3108960" cy="1986280"/>
                    </a:xfrm>
                    <a:prstGeom prst="rect">
                      <a:avLst/>
                    </a:prstGeom>
                  </pic:spPr>
                </pic:pic>
              </a:graphicData>
            </a:graphic>
          </wp:inline>
        </w:drawing>
      </w:r>
    </w:p>
    <w:p w14:paraId="7C13164C" w14:textId="77777777" w:rsidR="005A19EE" w:rsidRDefault="00254225">
      <w:pPr>
        <w:jc w:val="center"/>
      </w:pPr>
      <w:r>
        <w:rPr>
          <w:rFonts w:eastAsia="Times New Roman"/>
          <w:i/>
          <w:sz w:val="18"/>
        </w:rPr>
        <w:t>Fig. 3. Measured hardware kernel speedup over CPU.</w:t>
      </w:r>
    </w:p>
    <w:p w14:paraId="034B4D6F" w14:textId="77777777" w:rsidR="005A19EE" w:rsidRDefault="00254225">
      <w:pPr>
        <w:spacing w:before="120" w:after="40"/>
        <w:jc w:val="center"/>
      </w:pPr>
      <w:r>
        <w:rPr>
          <w:rFonts w:eastAsia="Times New Roman"/>
          <w:sz w:val="18"/>
        </w:rPr>
        <w:t>TABLE II. KERNEL BENCHMARK RESULTS, PYNQ-Z2 vs. ARM CORTEX-A9</w:t>
      </w:r>
    </w:p>
    <w:tbl>
      <w:tblPr>
        <w:tblStyle w:val="-11"/>
        <w:tblW w:w="0" w:type="auto"/>
        <w:tblLook w:val="04A0" w:firstRow="1" w:lastRow="0" w:firstColumn="1" w:lastColumn="0" w:noHBand="0" w:noVBand="1"/>
      </w:tblPr>
      <w:tblGrid>
        <w:gridCol w:w="1462"/>
        <w:gridCol w:w="1256"/>
        <w:gridCol w:w="1256"/>
        <w:gridCol w:w="1332"/>
      </w:tblGrid>
      <w:tr w:rsidR="005A19EE" w14:paraId="580E4994" w14:textId="77777777" w:rsidTr="005A1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AE65D7C" w14:textId="77777777" w:rsidR="005A19EE" w:rsidRDefault="00254225">
            <w:r>
              <w:rPr>
                <w:rFonts w:eastAsia="Times New Roman"/>
                <w:sz w:val="17"/>
              </w:rPr>
              <w:t>Shape</w:t>
            </w:r>
          </w:p>
        </w:tc>
        <w:tc>
          <w:tcPr>
            <w:tcW w:w="2635" w:type="dxa"/>
          </w:tcPr>
          <w:p w14:paraId="729D46CC"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HW latency</w:t>
            </w:r>
          </w:p>
        </w:tc>
        <w:tc>
          <w:tcPr>
            <w:tcW w:w="2635" w:type="dxa"/>
          </w:tcPr>
          <w:p w14:paraId="16B1EE7B"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CPU latency</w:t>
            </w:r>
          </w:p>
        </w:tc>
        <w:tc>
          <w:tcPr>
            <w:tcW w:w="2635" w:type="dxa"/>
          </w:tcPr>
          <w:p w14:paraId="4316AD97" w14:textId="77777777" w:rsidR="005A19EE" w:rsidRDefault="00254225">
            <w:pPr>
              <w:cnfStyle w:val="100000000000" w:firstRow="1" w:lastRow="0" w:firstColumn="0" w:lastColumn="0" w:oddVBand="0" w:evenVBand="0" w:oddHBand="0" w:evenHBand="0" w:firstRowFirstColumn="0" w:firstRowLastColumn="0" w:lastRowFirstColumn="0" w:lastRowLastColumn="0"/>
            </w:pPr>
            <w:r>
              <w:rPr>
                <w:rFonts w:eastAsia="Times New Roman"/>
                <w:sz w:val="17"/>
              </w:rPr>
              <w:t>Speedup</w:t>
            </w:r>
          </w:p>
        </w:tc>
      </w:tr>
      <w:tr w:rsidR="005A19EE" w14:paraId="4F24E06C" w14:textId="77777777" w:rsidTr="005A1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72996CC" w14:textId="77777777" w:rsidR="005A19EE" w:rsidRDefault="00254225">
            <w:r>
              <w:rPr>
                <w:rFonts w:eastAsia="Times New Roman"/>
                <w:b w:val="0"/>
                <w:sz w:val="17"/>
              </w:rPr>
              <w:t>192×192 (projection)</w:t>
            </w:r>
          </w:p>
        </w:tc>
        <w:tc>
          <w:tcPr>
            <w:tcW w:w="2635" w:type="dxa"/>
          </w:tcPr>
          <w:p w14:paraId="518AD664"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5.84 ms</w:t>
            </w:r>
          </w:p>
        </w:tc>
        <w:tc>
          <w:tcPr>
            <w:tcW w:w="2635" w:type="dxa"/>
          </w:tcPr>
          <w:p w14:paraId="564FA2B4"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408.9 ms</w:t>
            </w:r>
          </w:p>
        </w:tc>
        <w:tc>
          <w:tcPr>
            <w:tcW w:w="2635" w:type="dxa"/>
          </w:tcPr>
          <w:p w14:paraId="4821AE34" w14:textId="77777777" w:rsidR="005A19EE" w:rsidRDefault="00254225">
            <w:pPr>
              <w:cnfStyle w:val="000000100000" w:firstRow="0" w:lastRow="0" w:firstColumn="0" w:lastColumn="0" w:oddVBand="0" w:evenVBand="0" w:oddHBand="1" w:evenHBand="0" w:firstRowFirstColumn="0" w:firstRowLastColumn="0" w:lastRowFirstColumn="0" w:lastRowLastColumn="0"/>
            </w:pPr>
            <w:r>
              <w:rPr>
                <w:rFonts w:eastAsia="Times New Roman"/>
                <w:sz w:val="17"/>
              </w:rPr>
              <w:t>70.0×</w:t>
            </w:r>
          </w:p>
        </w:tc>
      </w:tr>
      <w:tr w:rsidR="005A19EE" w14:paraId="5791A504" w14:textId="77777777" w:rsidTr="005A19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4C27FC7" w14:textId="77777777" w:rsidR="005A19EE" w:rsidRDefault="00254225">
            <w:r>
              <w:rPr>
                <w:rFonts w:eastAsia="Times New Roman"/>
                <w:b w:val="0"/>
                <w:sz w:val="17"/>
              </w:rPr>
              <w:t>192×320 (MLP-shaped)</w:t>
            </w:r>
          </w:p>
        </w:tc>
        <w:tc>
          <w:tcPr>
            <w:tcW w:w="2635" w:type="dxa"/>
          </w:tcPr>
          <w:p w14:paraId="44ACC863"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6.38 ms</w:t>
            </w:r>
          </w:p>
        </w:tc>
        <w:tc>
          <w:tcPr>
            <w:tcW w:w="2635" w:type="dxa"/>
          </w:tcPr>
          <w:p w14:paraId="339068AA"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623.3 ms</w:t>
            </w:r>
          </w:p>
        </w:tc>
        <w:tc>
          <w:tcPr>
            <w:tcW w:w="2635" w:type="dxa"/>
          </w:tcPr>
          <w:p w14:paraId="460C0E69" w14:textId="77777777" w:rsidR="005A19EE" w:rsidRDefault="00254225">
            <w:pPr>
              <w:cnfStyle w:val="000000010000" w:firstRow="0" w:lastRow="0" w:firstColumn="0" w:lastColumn="0" w:oddVBand="0" w:evenVBand="0" w:oddHBand="0" w:evenHBand="1" w:firstRowFirstColumn="0" w:firstRowLastColumn="0" w:lastRowFirstColumn="0" w:lastRowLastColumn="0"/>
            </w:pPr>
            <w:r>
              <w:rPr>
                <w:rFonts w:eastAsia="Times New Roman"/>
                <w:sz w:val="17"/>
              </w:rPr>
              <w:t>97.7×</w:t>
            </w:r>
          </w:p>
        </w:tc>
      </w:tr>
    </w:tbl>
    <w:p w14:paraId="09746040" w14:textId="77777777" w:rsidR="005A19EE" w:rsidRDefault="005A19EE">
      <w:pPr>
        <w:spacing w:after="160"/>
      </w:pPr>
    </w:p>
    <w:p w14:paraId="509D29E7" w14:textId="77777777" w:rsidR="005A19EE" w:rsidRDefault="00254225">
      <w:pPr>
        <w:spacing w:before="160" w:after="80"/>
      </w:pPr>
      <w:r>
        <w:rPr>
          <w:rFonts w:eastAsia="Times New Roman"/>
          <w:b/>
          <w:i/>
        </w:rPr>
        <w:t>C. Physical Silicon Verification</w:t>
      </w:r>
    </w:p>
    <w:p w14:paraId="385D54AA" w14:textId="77777777" w:rsidR="005A19EE" w:rsidRDefault="00254225">
      <w:pPr>
        <w:spacing w:after="120"/>
        <w:ind w:firstLine="288"/>
        <w:jc w:val="both"/>
      </w:pPr>
      <w:r>
        <w:rPr>
          <w:rFonts w:eastAsia="Times New Roman"/>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14:paraId="6F85DE1D" w14:textId="77777777" w:rsidR="005A19EE" w:rsidRDefault="00254225">
      <w:pPr>
        <w:spacing w:before="160" w:after="80"/>
      </w:pPr>
      <w:r>
        <w:rPr>
          <w:rFonts w:eastAsia="Times New Roman"/>
          <w:b/>
          <w:i/>
        </w:rPr>
        <w:t>D. Workload Characterization vs. ViT Networks</w:t>
      </w:r>
    </w:p>
    <w:p w14:paraId="7DA6EF00" w14:textId="77777777" w:rsidR="005A19EE" w:rsidRDefault="00254225">
      <w:pPr>
        <w:spacing w:after="120"/>
        <w:ind w:firstLine="288"/>
        <w:jc w:val="both"/>
      </w:pPr>
      <w:r>
        <w:rPr>
          <w:rFonts w:eastAsia="Times New Roman"/>
        </w:rPr>
        <w:t xml:space="preserve">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matmul→Softmax→GELU pipeline does not structurally correspond to </w:t>
      </w:r>
      <w:r>
        <w:rPr>
          <w:rFonts w:eastAsia="Times New Roman"/>
        </w:rPr>
        <w:t>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against the RTL rather than assumed — is the reason Section VI.A–B repo</w:t>
      </w:r>
      <w:r>
        <w:rPr>
          <w:rFonts w:eastAsia="Times New Roman"/>
        </w:rPr>
        <w:t>rt a kernel-level throughput benchmark rather than an end-to-end accelerated ViT inference claim.</w:t>
      </w:r>
    </w:p>
    <w:p w14:paraId="082BC592" w14:textId="77777777" w:rsidR="005A19EE" w:rsidRDefault="00254225">
      <w:pPr>
        <w:spacing w:before="160" w:after="80"/>
      </w:pPr>
      <w:r>
        <w:rPr>
          <w:rFonts w:eastAsia="Times New Roman"/>
          <w:b/>
          <w:i/>
        </w:rPr>
        <w:t>E. Hardware Bring-Up Observations &amp; Edge Cases</w:t>
      </w:r>
    </w:p>
    <w:p w14:paraId="12471B2E" w14:textId="77777777" w:rsidR="005A19EE" w:rsidRDefault="00254225">
      <w:pPr>
        <w:spacing w:after="120"/>
        <w:ind w:firstLine="288"/>
        <w:jc w:val="both"/>
      </w:pPr>
      <w:r>
        <w:rPr>
          <w:rFonts w:eastAsia="Times New Roman"/>
        </w:rPr>
        <w:t xml:space="preserve">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Second, a related but distinct DMA hang observed at a two-row </w:t>
      </w:r>
      <w:r>
        <w:rPr>
          <w:rFonts w:eastAsia="Times New Roman"/>
        </w:rPr>
        <w:lastRenderedPageBreak/>
        <w:t>configuration was traced far enough to rule out the same cause but not far enough to identify its root; both are confined to matrix shapes far smaller than any configuration this design was validated at (Section III.B, VI.C), and the codebase was frozen with both documented as open items (Section VII) rather than resolved in this scope.</w:t>
      </w:r>
    </w:p>
    <w:p w14:paraId="4CEA5C79" w14:textId="77777777" w:rsidR="005A19EE" w:rsidRDefault="00254225">
      <w:pPr>
        <w:spacing w:before="240" w:after="120"/>
        <w:jc w:val="center"/>
      </w:pPr>
      <w:r>
        <w:rPr>
          <w:rFonts w:eastAsia="Times New Roman"/>
          <w:b/>
          <w:sz w:val="22"/>
        </w:rPr>
        <w:t>VII. ENGINEERING DISCUSSION, BOTTLENECKS &amp; FUTURE WORK</w:t>
      </w:r>
    </w:p>
    <w:p w14:paraId="55EA609A" w14:textId="77777777" w:rsidR="005A19EE" w:rsidRDefault="00254225">
      <w:pPr>
        <w:spacing w:before="160" w:after="80"/>
      </w:pPr>
      <w:r>
        <w:rPr>
          <w:rFonts w:eastAsia="Times New Roman"/>
          <w:b/>
          <w:i/>
        </w:rPr>
        <w:t>A. DMA Buffer Boundary Constraints</w:t>
      </w:r>
    </w:p>
    <w:p w14:paraId="1B88DB33" w14:textId="77777777" w:rsidR="005A19EE" w:rsidRDefault="00254225">
      <w:pPr>
        <w:spacing w:after="120"/>
        <w:ind w:firstLine="288"/>
        <w:jc w:val="both"/>
      </w:pPr>
      <w:r>
        <w:rPr>
          <w:rFonts w:eastAsia="Times New Roman"/>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w:t>
      </w:r>
      <w:r>
        <w:rPr>
          <w:rFonts w:eastAsia="Times New Roman"/>
        </w:rPr>
        <w:t>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w:t>
      </w:r>
    </w:p>
    <w:p w14:paraId="6C4DF28A" w14:textId="77777777" w:rsidR="005A19EE" w:rsidRDefault="00254225">
      <w:pPr>
        <w:spacing w:before="160" w:after="80"/>
      </w:pPr>
      <w:r>
        <w:rPr>
          <w:rFonts w:eastAsia="Times New Roman"/>
          <w:b/>
          <w:i/>
        </w:rPr>
        <w:t>B. Serial Softmax Throughput Bottleneck</w:t>
      </w:r>
    </w:p>
    <w:p w14:paraId="055E8F1F" w14:textId="77777777" w:rsidR="005A19EE" w:rsidRDefault="00254225">
      <w:pPr>
        <w:spacing w:after="120"/>
        <w:ind w:firstLine="288"/>
        <w:jc w:val="both"/>
      </w:pPr>
      <w:r>
        <w:rPr>
          <w:rFonts w:eastAsia="Times New Roman"/>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14:paraId="17A55CD3" w14:textId="77777777" w:rsidR="005A19EE" w:rsidRDefault="00254225">
      <w:pPr>
        <w:spacing w:before="160" w:after="80"/>
      </w:pPr>
      <w:r>
        <w:rPr>
          <w:rFonts w:eastAsia="Times New Roman"/>
          <w:b/>
          <w:i/>
        </w:rPr>
        <w:t>C. Architectural Roadmap</w:t>
      </w:r>
    </w:p>
    <w:p w14:paraId="3DE6C5D9" w14:textId="77777777" w:rsidR="005A19EE" w:rsidRDefault="00254225">
      <w:pPr>
        <w:spacing w:after="120"/>
        <w:ind w:firstLine="288"/>
        <w:jc w:val="both"/>
      </w:pPr>
      <w:r>
        <w:rPr>
          <w:rFonts w:eastAsia="Times New Roman"/>
        </w:rPr>
        <w:t>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w:t>
      </w:r>
      <w:r>
        <w:rPr>
          <w:rFonts w:eastAsia="Times New Roman"/>
        </w:rPr>
        <w:t>he serial Softmax bottleneck and a separately documented limitation in the GELU stage's lack of an internal skid buffer.</w:t>
      </w:r>
    </w:p>
    <w:p w14:paraId="5940DC57" w14:textId="77777777" w:rsidR="005A19EE" w:rsidRDefault="00254225">
      <w:pPr>
        <w:spacing w:before="240" w:after="120"/>
        <w:jc w:val="center"/>
      </w:pPr>
      <w:r>
        <w:rPr>
          <w:rFonts w:eastAsia="Times New Roman"/>
          <w:b/>
          <w:sz w:val="22"/>
        </w:rPr>
        <w:t>VIII. CONCLUSION</w:t>
      </w:r>
    </w:p>
    <w:p w14:paraId="2851CC86" w14:textId="77777777" w:rsidR="005A19EE" w:rsidRDefault="00254225">
      <w:pPr>
        <w:spacing w:after="120"/>
        <w:ind w:firstLine="288"/>
        <w:jc w:val="both"/>
      </w:pPr>
      <w:r>
        <w:rPr>
          <w:rFonts w:eastAsia="Times New Roman"/>
        </w:rPr>
        <w:t>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validation at full verified scale, and up to 97.73× k</w:t>
      </w:r>
      <w:r>
        <w:rPr>
          <w:rFonts w:eastAsia="Times New Roman"/>
        </w:rPr>
        <w:t>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 a clear and quantified roadmap for the next iteratio</w:t>
      </w:r>
      <w:r>
        <w:rPr>
          <w:rFonts w:eastAsia="Times New Roman"/>
        </w:rPr>
        <w:t>n of this work.</w:t>
      </w:r>
    </w:p>
    <w:p w14:paraId="651FFF21" w14:textId="77777777" w:rsidR="005A19EE" w:rsidRDefault="00254225">
      <w:pPr>
        <w:spacing w:before="240" w:after="120"/>
        <w:jc w:val="center"/>
      </w:pPr>
      <w:r>
        <w:rPr>
          <w:rFonts w:eastAsia="Times New Roman"/>
          <w:b/>
          <w:sz w:val="22"/>
        </w:rPr>
        <w:t>REFERENCES</w:t>
      </w:r>
    </w:p>
    <w:p w14:paraId="178B75A6" w14:textId="77777777" w:rsidR="005A19EE" w:rsidRDefault="00254225">
      <w:pPr>
        <w:spacing w:after="60"/>
      </w:pPr>
      <w:r>
        <w:rPr>
          <w:rFonts w:eastAsia="Times New Roman"/>
          <w:sz w:val="18"/>
        </w:rPr>
        <w:t>[1] A. Vaswani et al., “Attention Is All You Need,” in Proc. NeurIPS, 2017.</w:t>
      </w:r>
    </w:p>
    <w:p w14:paraId="5C2D20EB" w14:textId="77777777" w:rsidR="005A19EE" w:rsidRDefault="00254225">
      <w:pPr>
        <w:spacing w:after="60"/>
      </w:pPr>
      <w:r>
        <w:rPr>
          <w:rFonts w:eastAsia="Times New Roman"/>
          <w:sz w:val="18"/>
        </w:rPr>
        <w:t>[2] Y. Zhu, Q. Li, S. Chen, and Y. Ma, “High-Performance FPGA Acceleration for Transformer-Based Models: A Survey,” IEEE Trans. VLSI Syst., 2023.</w:t>
      </w:r>
    </w:p>
    <w:p w14:paraId="4A54B961" w14:textId="77777777" w:rsidR="005A19EE" w:rsidRDefault="00254225">
      <w:pPr>
        <w:spacing w:after="60"/>
      </w:pPr>
      <w:r>
        <w:rPr>
          <w:rFonts w:eastAsia="Times New Roman"/>
          <w:sz w:val="18"/>
        </w:rPr>
        <w:t>[3] Z. Li, H. Chen, C. Cheng, and X. Huang, “ME-ViT: A Single-Load Memory-Efficient FPGA Accelerator for Vision Transformers,” in Proc. ACM/IEEE ISLPED, 2022.</w:t>
      </w:r>
    </w:p>
    <w:p w14:paraId="2F588832" w14:textId="77777777" w:rsidR="005A19EE" w:rsidRDefault="00254225">
      <w:pPr>
        <w:spacing w:after="60"/>
      </w:pPr>
      <w:r>
        <w:rPr>
          <w:rFonts w:eastAsia="Times New Roman"/>
          <w:sz w:val="18"/>
        </w:rPr>
        <w:t>[4] H. Liu and J. Sun, “FTRANS: Energy-Efficient Acceleration of Transformers using FPGA,” in Proc. ACM/SIGDA FPGA Symp., 2021.</w:t>
      </w:r>
    </w:p>
    <w:p w14:paraId="726DA45A" w14:textId="77777777" w:rsidR="005A19EE" w:rsidRDefault="00254225">
      <w:pPr>
        <w:spacing w:after="60"/>
      </w:pPr>
      <w:r>
        <w:rPr>
          <w:rFonts w:eastAsia="Times New Roman"/>
          <w:sz w:val="18"/>
        </w:rPr>
        <w:t>[5] Y. Cai, A. Zhang, and X. Chen, “A High-Throughput and Energy-Efficient FPGA-Based Transformer Accelerator,” in Proc. IEEE IPDPS, 2020.</w:t>
      </w:r>
    </w:p>
    <w:p w14:paraId="734707C1" w14:textId="77777777" w:rsidR="005A19EE" w:rsidRDefault="00254225">
      <w:pPr>
        <w:spacing w:after="60"/>
      </w:pPr>
      <w:r>
        <w:rPr>
          <w:rFonts w:eastAsia="Times New Roman"/>
          <w:sz w:val="18"/>
        </w:rPr>
        <w:t>[6] AMD/Xilinx, “Vivado Design Suite User Guide: Synthesis (UG901),” AMD, San Jose, CA, USA.</w:t>
      </w:r>
    </w:p>
    <w:p w14:paraId="07016915" w14:textId="77777777" w:rsidR="005A19EE" w:rsidRDefault="00254225">
      <w:pPr>
        <w:spacing w:after="60"/>
      </w:pPr>
      <w:r>
        <w:rPr>
          <w:rFonts w:eastAsia="Times New Roman"/>
          <w:sz w:val="18"/>
        </w:rPr>
        <w:t>[7] A. Dosovitskiy et al., “An Image is Worth 16x16 Words: Transformers for Image Recognition at Scale,” in Proc. ICLR, 2021.</w:t>
      </w:r>
    </w:p>
    <w:p w14:paraId="5C2908BE" w14:textId="77777777" w:rsidR="005A19EE" w:rsidRDefault="00254225">
      <w:pPr>
        <w:spacing w:after="60"/>
      </w:pPr>
      <w:r>
        <w:rPr>
          <w:rFonts w:eastAsia="Times New Roman"/>
          <w:sz w:val="18"/>
        </w:rPr>
        <w:t>[8] R. Wightman, “PyTorch Image Models (timm),” GitHub repository, 2019. [Online]. Available: https://github.com/huggingface/pytorch-image-models</w:t>
      </w:r>
    </w:p>
    <w:sectPr w:rsidR="005A19EE" w:rsidSect="00034616">
      <w:type w:val="continuous"/>
      <w:pgSz w:w="12240" w:h="15840"/>
      <w:pgMar w:top="1077" w:right="850" w:bottom="1417" w:left="85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43421769">
    <w:abstractNumId w:val="8"/>
  </w:num>
  <w:num w:numId="2" w16cid:durableId="1008677498">
    <w:abstractNumId w:val="6"/>
  </w:num>
  <w:num w:numId="3" w16cid:durableId="1426996622">
    <w:abstractNumId w:val="5"/>
  </w:num>
  <w:num w:numId="4" w16cid:durableId="29693782">
    <w:abstractNumId w:val="4"/>
  </w:num>
  <w:num w:numId="5" w16cid:durableId="1551453737">
    <w:abstractNumId w:val="7"/>
  </w:num>
  <w:num w:numId="6" w16cid:durableId="884831083">
    <w:abstractNumId w:val="3"/>
  </w:num>
  <w:num w:numId="7" w16cid:durableId="666370512">
    <w:abstractNumId w:val="2"/>
  </w:num>
  <w:num w:numId="8" w16cid:durableId="716663783">
    <w:abstractNumId w:val="1"/>
  </w:num>
  <w:num w:numId="9" w16cid:durableId="1709722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225"/>
    <w:rsid w:val="0029639D"/>
    <w:rsid w:val="00326F90"/>
    <w:rsid w:val="005A19EE"/>
    <w:rsid w:val="00A612AA"/>
    <w:rsid w:val="00AA1D8D"/>
    <w:rsid w:val="00AE73D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536378"/>
  <w14:defaultImageDpi w14:val="300"/>
  <w15:docId w15:val="{B4D1ECFD-301A-4490-B821-01F7B467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2959</Words>
  <Characters>18346</Characters>
  <Application>Microsoft Office Word</Application>
  <DocSecurity>0</DocSecurity>
  <Lines>436</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Eliran Turgeman</cp:lastModifiedBy>
  <cp:revision>2</cp:revision>
  <cp:lastPrinted>2026-08-26T18:42:00Z</cp:lastPrinted>
  <dcterms:created xsi:type="dcterms:W3CDTF">2013-12-23T23:15:00Z</dcterms:created>
  <dcterms:modified xsi:type="dcterms:W3CDTF">2026-08-26T18:42:00Z</dcterms:modified>
  <cp:category/>
</cp:coreProperties>
</file>