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de4d657aebd270c4a577931c40e6de06818f63a"/>
    <w:p>
      <w:pPr>
        <w:pStyle w:val="Heading1"/>
      </w:pPr>
      <w:r>
        <w:t xml:space="preserve">Tokenization in Cryptocurrency: Concepts, Standards, Risks, and Value-Investor Implications</w:t>
      </w:r>
    </w:p>
    <w:bookmarkStart w:id="26" w:name="executive-summary"/>
    <w:p>
      <w:pPr>
        <w:pStyle w:val="Heading2"/>
      </w:pPr>
      <w:r>
        <w:t xml:space="preserve">Executive summary</w:t>
      </w:r>
    </w:p>
    <w:p>
      <w:pPr>
        <w:pStyle w:val="FirstParagraph"/>
      </w:pPr>
      <w:r>
        <w:t xml:space="preserve">Tokenization in cryptocurrency is the practice of representing value, rights, or claims as</w:t>
      </w:r>
      <w:r>
        <w:t xml:space="preserve"> </w:t>
      </w:r>
      <w:r>
        <w:rPr>
          <w:b/>
          <w:bCs/>
        </w:rPr>
        <w:t xml:space="preserve">digital tokens</w:t>
      </w:r>
      <w:r>
        <w:t xml:space="preserve"> </w:t>
      </w:r>
      <w:r>
        <w:t xml:space="preserve">recorded on a blockchain (or similar programmable ledger) so they can be</w:t>
      </w:r>
      <w:r>
        <w:t xml:space="preserve"> </w:t>
      </w:r>
      <w:r>
        <w:rPr>
          <w:b/>
          <w:bCs/>
        </w:rPr>
        <w:t xml:space="preserve">issued, transferred, held, and sometimes redeemed</w:t>
      </w:r>
      <w:r>
        <w:t xml:space="preserve"> </w:t>
      </w:r>
      <w:r>
        <w:t xml:space="preserve">with software-enforced rules. In traditional finance language, tokenisation is often defined as generating and recording a</w:t>
      </w:r>
      <w:r>
        <w:t xml:space="preserve"> </w:t>
      </w:r>
      <w:r>
        <w:rPr>
          <w:b/>
          <w:bCs/>
        </w:rPr>
        <w:t xml:space="preserve">digital representation of traditional assets on a programmable platform</w:t>
      </w:r>
      <w:r>
        <w:t xml:space="preserve">.</w:t>
      </w:r>
      <w:r>
        <w:t xml:space="preserve"> </w:t>
      </w:r>
      <w:hyperlink r:id="rId21">
        <w:r>
          <w:rPr>
            <w:rStyle w:val="Hyperlink"/>
          </w:rPr>
          <w:t xml:space="preserve">[1]</w:t>
        </w:r>
      </w:hyperlink>
      <w:r>
        <w:t xml:space="preserve"> </w:t>
      </w:r>
      <w:r>
        <w:t xml:space="preserve">In crypto ecosystems, tokenization is also the mechanism that makes “tokens” (fungible balances, NFTs, vault shares, etc.) interoperable across wallets, exchanges, and applications through</w:t>
      </w:r>
      <w:r>
        <w:t xml:space="preserve"> </w:t>
      </w:r>
      <w:r>
        <w:rPr>
          <w:b/>
          <w:bCs/>
        </w:rPr>
        <w:t xml:space="preserve">standard interfaces</w:t>
      </w:r>
      <w:r>
        <w:t xml:space="preserve"> </w:t>
      </w:r>
      <w:r>
        <w:t xml:space="preserve">like ERC-20 and ERC-721.</w:t>
      </w:r>
      <w:r>
        <w:t xml:space="preserve"> </w:t>
      </w:r>
      <w:hyperlink r:id="rId22">
        <w:r>
          <w:rPr>
            <w:rStyle w:val="Hyperlink"/>
          </w:rPr>
          <w:t xml:space="preserve">[2]</w:t>
        </w:r>
      </w:hyperlink>
    </w:p>
    <w:p>
      <w:pPr>
        <w:pStyle w:val="BodyText"/>
      </w:pPr>
      <w:r>
        <w:t xml:space="preserve">Why tokenization matters comes down to two core properties:</w:t>
      </w:r>
      <w:r>
        <w:t xml:space="preserve"> </w:t>
      </w:r>
      <w:r>
        <w:rPr>
          <w:b/>
          <w:bCs/>
        </w:rPr>
        <w:t xml:space="preserve">standardization</w:t>
      </w:r>
      <w:r>
        <w:t xml:space="preserve"> </w:t>
      </w:r>
      <w:r>
        <w:t xml:space="preserve">and</w:t>
      </w:r>
      <w:r>
        <w:t xml:space="preserve"> </w:t>
      </w:r>
      <w:r>
        <w:rPr>
          <w:b/>
          <w:bCs/>
        </w:rPr>
        <w:t xml:space="preserve">programmability</w:t>
      </w:r>
      <w:r>
        <w:t xml:space="preserve">. Standards (e.g., ERC-20) make tokens reusable across applications like wallets and decentralized exchanges, enabling composability across the ecosystem.</w:t>
      </w:r>
      <w:r>
        <w:t xml:space="preserve"> </w:t>
      </w:r>
      <w:hyperlink r:id="rId22">
        <w:r>
          <w:rPr>
            <w:rStyle w:val="Hyperlink"/>
          </w:rPr>
          <w:t xml:space="preserve">[3]</w:t>
        </w:r>
      </w:hyperlink>
      <w:r>
        <w:t xml:space="preserve"> </w:t>
      </w:r>
      <w:r>
        <w:t xml:space="preserve">Programmability allows rules such as mint/burn, transfer restrictions, fee logic, or redemption conditions to be encoded at the token or protocol layer—features often associated with tokenised systems in financial markets (fractionalization, programmability, atomicity, composability).</w:t>
      </w:r>
      <w:r>
        <w:t xml:space="preserve"> </w:t>
      </w:r>
      <w:hyperlink r:id="rId23">
        <w:r>
          <w:rPr>
            <w:rStyle w:val="Hyperlink"/>
          </w:rPr>
          <w:t xml:space="preserve">[4]</w:t>
        </w:r>
      </w:hyperlink>
    </w:p>
    <w:p>
      <w:pPr>
        <w:pStyle w:val="BodyText"/>
      </w:pPr>
      <w:r>
        <w:t xml:space="preserve">The same properties create concentrated risk. Tokens can be vulnerable to</w:t>
      </w:r>
      <w:r>
        <w:t xml:space="preserve"> </w:t>
      </w:r>
      <w:r>
        <w:rPr>
          <w:b/>
          <w:bCs/>
        </w:rPr>
        <w:t xml:space="preserve">smart contract weaknesses</w:t>
      </w:r>
      <w:r>
        <w:t xml:space="preserve"> </w:t>
      </w:r>
      <w:r>
        <w:t xml:space="preserve">(e.g., reentrancy),</w:t>
      </w:r>
      <w:r>
        <w:t xml:space="preserve"> </w:t>
      </w:r>
      <w:r>
        <w:rPr>
          <w:b/>
          <w:bCs/>
        </w:rPr>
        <w:t xml:space="preserve">bridge failures</w:t>
      </w:r>
      <w:r>
        <w:t xml:space="preserve"> </w:t>
      </w:r>
      <w:r>
        <w:t xml:space="preserve">during cross-chain movement,</w:t>
      </w:r>
      <w:r>
        <w:t xml:space="preserve"> </w:t>
      </w:r>
      <w:r>
        <w:rPr>
          <w:b/>
          <w:bCs/>
        </w:rPr>
        <w:t xml:space="preserve">custody/key compromise</w:t>
      </w:r>
      <w:r>
        <w:t xml:space="preserve">, and</w:t>
      </w:r>
      <w:r>
        <w:t xml:space="preserve"> </w:t>
      </w:r>
      <w:r>
        <w:rPr>
          <w:b/>
          <w:bCs/>
        </w:rPr>
        <w:t xml:space="preserve">regulatory reclassification</w:t>
      </w:r>
      <w:r>
        <w:t xml:space="preserve"> </w:t>
      </w:r>
      <w:r>
        <w:t xml:space="preserve">(e.g., “utility” vs “security” treatment depends on facts and jurisdiction).</w:t>
      </w:r>
      <w:r>
        <w:t xml:space="preserve"> </w:t>
      </w:r>
      <w:hyperlink r:id="rId24">
        <w:r>
          <w:rPr>
            <w:rStyle w:val="Hyperlink"/>
          </w:rPr>
          <w:t xml:space="preserve">[5]</w:t>
        </w:r>
      </w:hyperlink>
    </w:p>
    <w:p>
      <w:pPr>
        <w:pStyle w:val="BodyText"/>
      </w:pPr>
      <w:r>
        <w:t xml:space="preserve">From a value-investor lens, the investability of “crypto tokens” depends heavily on whether the token provides (a)</w:t>
      </w:r>
      <w:r>
        <w:t xml:space="preserve"> </w:t>
      </w:r>
      <w:r>
        <w:rPr>
          <w:b/>
          <w:bCs/>
        </w:rPr>
        <w:t xml:space="preserve">credible, enforceable economic rights</w:t>
      </w:r>
      <w:r>
        <w:t xml:space="preserve"> </w:t>
      </w:r>
      <w:r>
        <w:t xml:space="preserve">(cash flows, redemption rights, or legally binding claims), (b) checks against dilution and governance capture, and (c) survivability under regulation and technical stress. Many tokens fail these tests because they resemble high-volatility “network assets” whose value is primarily reflexive (adoption narratives, liquidity, speculation), and because robust intrinsic valuation is difficult—an issue highlighted even in practitioner-oriented valuation guidance.</w:t>
      </w:r>
      <w:r>
        <w:t xml:space="preserve"> </w:t>
      </w:r>
      <w:hyperlink r:id="rId25">
        <w:r>
          <w:rPr>
            <w:rStyle w:val="Hyperlink"/>
          </w:rPr>
          <w:t xml:space="preserve">[6]</w:t>
        </w:r>
      </w:hyperlink>
    </w:p>
    <w:bookmarkEnd w:id="26"/>
    <w:bookmarkStart w:id="30" w:name="tokenization-in-plain-language"/>
    <w:p>
      <w:pPr>
        <w:pStyle w:val="Heading2"/>
      </w:pPr>
      <w:r>
        <w:t xml:space="preserve">Tokenization in plain language</w:t>
      </w:r>
    </w:p>
    <w:p>
      <w:pPr>
        <w:pStyle w:val="FirstParagraph"/>
      </w:pPr>
      <w:r>
        <w:t xml:space="preserve">In cryptocurrency,</w:t>
      </w:r>
      <w:r>
        <w:t xml:space="preserve"> </w:t>
      </w:r>
      <w:r>
        <w:rPr>
          <w:b/>
          <w:bCs/>
        </w:rPr>
        <w:t xml:space="preserve">tokenization</w:t>
      </w:r>
      <w:r>
        <w:t xml:space="preserve"> </w:t>
      </w:r>
      <w:r>
        <w:t xml:space="preserve">means turning “something” into a token that can be tracked and moved on a blockchain.</w:t>
      </w:r>
    </w:p>
    <w:p>
      <w:pPr>
        <w:pStyle w:val="BodyText"/>
      </w:pPr>
      <w:r>
        <w:t xml:space="preserve">That “something” can be:</w:t>
      </w:r>
      <w:r>
        <w:t xml:space="preserve"> </w:t>
      </w:r>
      <w:r>
        <w:t xml:space="preserve">- A</w:t>
      </w:r>
      <w:r>
        <w:t xml:space="preserve"> </w:t>
      </w:r>
      <w:r>
        <w:rPr>
          <w:b/>
          <w:bCs/>
        </w:rPr>
        <w:t xml:space="preserve">native crypto network asset</w:t>
      </w:r>
      <w:r>
        <w:t xml:space="preserve"> </w:t>
      </w:r>
      <w:r>
        <w:t xml:space="preserve">(value is defined by the protocol and market).</w:t>
      </w:r>
      <w:r>
        <w:t xml:space="preserve"> </w:t>
      </w:r>
      <w:r>
        <w:t xml:space="preserve">- A</w:t>
      </w:r>
      <w:r>
        <w:t xml:space="preserve"> </w:t>
      </w:r>
      <w:r>
        <w:rPr>
          <w:b/>
          <w:bCs/>
        </w:rPr>
        <w:t xml:space="preserve">right to use a product/service</w:t>
      </w:r>
      <w:r>
        <w:t xml:space="preserve"> </w:t>
      </w:r>
      <w:r>
        <w:t xml:space="preserve">(often called a utility token in many regulatory frameworks).</w:t>
      </w:r>
      <w:r>
        <w:t xml:space="preserve"> </w:t>
      </w:r>
      <w:hyperlink r:id="rId27">
        <w:r>
          <w:rPr>
            <w:rStyle w:val="Hyperlink"/>
          </w:rPr>
          <w:t xml:space="preserve">[7]</w:t>
        </w:r>
      </w:hyperlink>
      <w:r>
        <w:t xml:space="preserve"> </w:t>
      </w:r>
      <w:r>
        <w:t xml:space="preserve">- A</w:t>
      </w:r>
      <w:r>
        <w:t xml:space="preserve"> </w:t>
      </w:r>
      <w:r>
        <w:rPr>
          <w:b/>
          <w:bCs/>
        </w:rPr>
        <w:t xml:space="preserve">claim on an issuer</w:t>
      </w:r>
      <w:r>
        <w:t xml:space="preserve"> </w:t>
      </w:r>
      <w:r>
        <w:t xml:space="preserve">(e.g., stablecoin redemption; or a token representing a debt/equity-like claim).</w:t>
      </w:r>
      <w:r>
        <w:t xml:space="preserve"> </w:t>
      </w:r>
      <w:hyperlink r:id="rId27">
        <w:r>
          <w:rPr>
            <w:rStyle w:val="Hyperlink"/>
          </w:rPr>
          <w:t xml:space="preserve">[7]</w:t>
        </w:r>
      </w:hyperlink>
      <w:r>
        <w:t xml:space="preserve"> </w:t>
      </w:r>
      <w:r>
        <w:t xml:space="preserve">- A</w:t>
      </w:r>
      <w:r>
        <w:t xml:space="preserve"> </w:t>
      </w:r>
      <w:r>
        <w:rPr>
          <w:b/>
          <w:bCs/>
        </w:rPr>
        <w:t xml:space="preserve">unique item</w:t>
      </w:r>
      <w:r>
        <w:t xml:space="preserve"> </w:t>
      </w:r>
      <w:r>
        <w:t xml:space="preserve">(NFT) representing ownership, credentials, or access—NFT standards explicitly contemplate digital and physical asset representations.</w:t>
      </w:r>
      <w:r>
        <w:t xml:space="preserve"> </w:t>
      </w:r>
      <w:hyperlink r:id="rId28">
        <w:r>
          <w:rPr>
            <w:rStyle w:val="Hyperlink"/>
          </w:rPr>
          <w:t xml:space="preserve">[8]</w:t>
        </w:r>
      </w:hyperlink>
    </w:p>
    <w:p>
      <w:pPr>
        <w:pStyle w:val="BodyText"/>
      </w:pPr>
      <w:r>
        <w:t xml:space="preserve">A helpful mental model is: a token is like a</w:t>
      </w:r>
      <w:r>
        <w:t xml:space="preserve"> </w:t>
      </w:r>
      <w:r>
        <w:rPr>
          <w:b/>
          <w:bCs/>
        </w:rPr>
        <w:t xml:space="preserve">programmable entry in a shared database</w:t>
      </w:r>
      <w:r>
        <w:t xml:space="preserve"> </w:t>
      </w:r>
      <w:r>
        <w:t xml:space="preserve">that everyone can verify. A token standard is like a</w:t>
      </w:r>
      <w:r>
        <w:t xml:space="preserve"> </w:t>
      </w:r>
      <w:r>
        <w:rPr>
          <w:b/>
          <w:bCs/>
        </w:rPr>
        <w:t xml:space="preserve">common “API contract”</w:t>
      </w:r>
      <w:r>
        <w:t xml:space="preserve"> </w:t>
      </w:r>
      <w:r>
        <w:t xml:space="preserve">that lets wallets, exchanges, and apps interact with that entry predictably. ERC-20 frames this directly: a standard token API supports reuse across wallets and decentralized exchanges.</w:t>
      </w:r>
      <w:r>
        <w:t xml:space="preserve"> </w:t>
      </w:r>
      <w:hyperlink r:id="rId22">
        <w:r>
          <w:rPr>
            <w:rStyle w:val="Hyperlink"/>
          </w:rPr>
          <w:t xml:space="preserve">[3]</w:t>
        </w:r>
      </w:hyperlink>
    </w:p>
    <w:p>
      <w:pPr>
        <w:pStyle w:val="BodyText"/>
      </w:pPr>
      <w:r>
        <w:t xml:space="preserve">Why this matters in practice:</w:t>
      </w:r>
      <w:r>
        <w:t xml:space="preserve"> </w:t>
      </w:r>
      <w:r>
        <w:t xml:space="preserve">-</w:t>
      </w:r>
      <w:r>
        <w:t xml:space="preserve"> </w:t>
      </w:r>
      <w:r>
        <w:rPr>
          <w:b/>
          <w:bCs/>
        </w:rPr>
        <w:t xml:space="preserve">Interoperability by default.</w:t>
      </w:r>
      <w:r>
        <w:t xml:space="preserve"> </w:t>
      </w:r>
      <w:r>
        <w:t xml:space="preserve">If you adhere to a widely used standard, you can plug into existing infrastructure (wallets, exchanges, DeFi protocols).</w:t>
      </w:r>
      <w:r>
        <w:t xml:space="preserve"> </w:t>
      </w:r>
      <w:hyperlink r:id="rId22">
        <w:r>
          <w:rPr>
            <w:rStyle w:val="Hyperlink"/>
          </w:rPr>
          <w:t xml:space="preserve">[9]</w:t>
        </w:r>
      </w:hyperlink>
      <w:r>
        <w:br/>
      </w:r>
      <w:r>
        <w:t xml:space="preserve">-</w:t>
      </w:r>
      <w:r>
        <w:t xml:space="preserve"> </w:t>
      </w:r>
      <w:r>
        <w:rPr>
          <w:b/>
          <w:bCs/>
        </w:rPr>
        <w:t xml:space="preserve">Programmable ownership and transfer.</w:t>
      </w:r>
      <w:r>
        <w:t xml:space="preserve"> </w:t>
      </w:r>
      <w:r>
        <w:t xml:space="preserve">Blockchains let the asset’s rules be enforced by code (e.g., “mint only by authority,” “burn reduces supply,” “redemption rights”). For example, on Solana, tokenization is described as enabling the “digitalization of property rights,” and token mint metadata can include supply and mint authority rules.</w:t>
      </w:r>
      <w:r>
        <w:t xml:space="preserve"> </w:t>
      </w:r>
      <w:hyperlink r:id="rId29">
        <w:r>
          <w:rPr>
            <w:rStyle w:val="Hyperlink"/>
          </w:rPr>
          <w:t xml:space="preserve">[10]</w:t>
        </w:r>
      </w:hyperlink>
      <w:r>
        <w:br/>
      </w:r>
      <w:r>
        <w:t xml:space="preserve">-</w:t>
      </w:r>
      <w:r>
        <w:t xml:space="preserve"> </w:t>
      </w:r>
      <w:r>
        <w:rPr>
          <w:b/>
          <w:bCs/>
        </w:rPr>
        <w:t xml:space="preserve">Fractionalization and automation.</w:t>
      </w:r>
      <w:r>
        <w:t xml:space="preserve"> </w:t>
      </w:r>
      <w:r>
        <w:t xml:space="preserve">Tokenisation discussions in traditional finance emphasize fractionalization and programmable settlement as potential efficiency levers, while also noting adoption remains uneven and not always proven.</w:t>
      </w:r>
      <w:r>
        <w:t xml:space="preserve"> </w:t>
      </w:r>
      <w:hyperlink r:id="rId23">
        <w:r>
          <w:rPr>
            <w:rStyle w:val="Hyperlink"/>
          </w:rPr>
          <w:t xml:space="preserve">[11]</w:t>
        </w:r>
      </w:hyperlink>
      <w:r>
        <w:br/>
      </w:r>
      <w:r>
        <w:t xml:space="preserve">-</w:t>
      </w:r>
      <w:r>
        <w:t xml:space="preserve"> </w:t>
      </w:r>
      <w:r>
        <w:rPr>
          <w:b/>
          <w:bCs/>
        </w:rPr>
        <w:t xml:space="preserve">New risk surface.</w:t>
      </w:r>
      <w:r>
        <w:t xml:space="preserve"> </w:t>
      </w:r>
      <w:r>
        <w:t xml:space="preserve">The same programmability creates new failure modes: code bugs, operational key risk, and uncertainty about whether the token is the “asset” or merely a “representation” of it—explicitly flagged as a concern in tokenisation discussions by securities regulators and standard setters.</w:t>
      </w:r>
      <w:r>
        <w:t xml:space="preserve"> </w:t>
      </w:r>
      <w:hyperlink r:id="rId23">
        <w:r>
          <w:rPr>
            <w:rStyle w:val="Hyperlink"/>
          </w:rPr>
          <w:t xml:space="preserve">[12]</w:t>
        </w:r>
      </w:hyperlink>
    </w:p>
    <w:bookmarkEnd w:id="30"/>
    <w:bookmarkStart w:id="57" w:name="X99defc1901da657882569f22a7ff5fc3e785781"/>
    <w:p>
      <w:pPr>
        <w:pStyle w:val="Heading2"/>
      </w:pPr>
      <w:r>
        <w:t xml:space="preserve">Technical foundations of crypto tokenization</w:t>
      </w:r>
    </w:p>
    <w:p>
      <w:pPr>
        <w:pStyle w:val="FirstParagraph"/>
      </w:pPr>
      <w:r>
        <w:t xml:space="preserve">Tokenization in crypto is implemented through</w:t>
      </w:r>
      <w:r>
        <w:t xml:space="preserve"> </w:t>
      </w:r>
      <w:r>
        <w:rPr>
          <w:b/>
          <w:bCs/>
        </w:rPr>
        <w:t xml:space="preserve">on-chain state machines</w:t>
      </w:r>
      <w:r>
        <w:t xml:space="preserve"> </w:t>
      </w:r>
      <w:r>
        <w:t xml:space="preserve">(smart contracts or native token programs) plus conventions for how off-chain systems interpret and support those states.</w:t>
      </w:r>
    </w:p>
    <w:bookmarkStart w:id="40" w:name="X047588519b5add91ed71714d932d388c39cf10d"/>
    <w:p>
      <w:pPr>
        <w:pStyle w:val="Heading3"/>
      </w:pPr>
      <w:r>
        <w:t xml:space="preserve">Token standards and what they standardize</w:t>
      </w:r>
    </w:p>
    <w:p>
      <w:pPr>
        <w:pStyle w:val="FirstParagraph"/>
      </w:pPr>
      <w:r>
        <w:t xml:space="preserve">At a high level, token standards define:</w:t>
      </w:r>
      <w:r>
        <w:t xml:space="preserve"> </w:t>
      </w:r>
      <w:r>
        <w:t xml:space="preserve">-</w:t>
      </w:r>
      <w:r>
        <w:t xml:space="preserve"> </w:t>
      </w:r>
      <w:r>
        <w:rPr>
          <w:b/>
          <w:bCs/>
        </w:rPr>
        <w:t xml:space="preserve">State model</w:t>
      </w:r>
      <w:r>
        <w:t xml:space="preserve"> </w:t>
      </w:r>
      <w:r>
        <w:t xml:space="preserve">(fungible balances vs unique IDs vs multi-token IDs).</w:t>
      </w:r>
      <w:r>
        <w:t xml:space="preserve"> </w:t>
      </w:r>
      <w:r>
        <w:t xml:space="preserve">-</w:t>
      </w:r>
      <w:r>
        <w:t xml:space="preserve"> </w:t>
      </w:r>
      <w:r>
        <w:rPr>
          <w:b/>
          <w:bCs/>
        </w:rPr>
        <w:t xml:space="preserve">Transfer and approval semantics</w:t>
      </w:r>
      <w:r>
        <w:t xml:space="preserve"> </w:t>
      </w:r>
      <w:r>
        <w:t xml:space="preserve">(direct transfers, delegated transfers, operator models, safe transfer rules).</w:t>
      </w:r>
      <w:r>
        <w:t xml:space="preserve"> </w:t>
      </w:r>
      <w:r>
        <w:t xml:space="preserve">-</w:t>
      </w:r>
      <w:r>
        <w:t xml:space="preserve"> </w:t>
      </w:r>
      <w:r>
        <w:rPr>
          <w:b/>
          <w:bCs/>
        </w:rPr>
        <w:t xml:space="preserve">Events/logs</w:t>
      </w:r>
      <w:r>
        <w:t xml:space="preserve"> </w:t>
      </w:r>
      <w:r>
        <w:t xml:space="preserve">used for indexing and off-chain UX.</w:t>
      </w:r>
      <w:r>
        <w:t xml:space="preserve"> </w:t>
      </w:r>
      <w:r>
        <w:t xml:space="preserve">-</w:t>
      </w:r>
      <w:r>
        <w:t xml:space="preserve"> </w:t>
      </w:r>
      <w:r>
        <w:rPr>
          <w:b/>
          <w:bCs/>
        </w:rPr>
        <w:t xml:space="preserve">Metadata conventions</w:t>
      </w:r>
      <w:r>
        <w:t xml:space="preserve"> </w:t>
      </w:r>
      <w:r>
        <w:t xml:space="preserve">(e.g., URI patterns for NFTs).</w:t>
      </w:r>
    </w:p>
    <w:p>
      <w:pPr>
        <w:pStyle w:val="BodyText"/>
      </w:pPr>
      <w:r>
        <w:t xml:space="preserve">ERC-20’s specification provides the canonical fungible token interface and explicitly motivates reuse across applications like wallets and decentralized exchanges.</w:t>
      </w:r>
      <w:r>
        <w:t xml:space="preserve"> </w:t>
      </w:r>
      <w:hyperlink r:id="rId22">
        <w:r>
          <w:rPr>
            <w:rStyle w:val="Hyperlink"/>
          </w:rPr>
          <w:t xml:space="preserve">[3]</w:t>
        </w:r>
      </w:hyperlink>
      <w:r>
        <w:t xml:space="preserve"> </w:t>
      </w:r>
      <w:r>
        <w:t xml:space="preserve">ERC-721 provides a standard interface for non-fungible tokens and includes an optional metadata extension where</w:t>
      </w:r>
      <w:r>
        <w:t xml:space="preserve"> </w:t>
      </w:r>
      <w:r>
        <w:rPr>
          <w:rStyle w:val="VerbatimChar"/>
        </w:rPr>
        <w:t xml:space="preserve">tokenURI</w:t>
      </w:r>
      <w:r>
        <w:t xml:space="preserve"> </w:t>
      </w:r>
      <w:r>
        <w:t xml:space="preserve">can point to a JSON file describing the NFT.</w:t>
      </w:r>
      <w:r>
        <w:t xml:space="preserve"> </w:t>
      </w:r>
      <w:hyperlink r:id="rId28">
        <w:r>
          <w:rPr>
            <w:rStyle w:val="Hyperlink"/>
          </w:rPr>
          <w:t xml:space="preserve">[13]</w:t>
        </w:r>
      </w:hyperlink>
      <w:r>
        <w:t xml:space="preserve"> </w:t>
      </w:r>
      <w:r>
        <w:t xml:space="preserve">ERC-1155 generalizes to multiple token types in one contract and relies heavily on events for discoverability; it also defines metadata URI conventions.</w:t>
      </w:r>
      <w:r>
        <w:t xml:space="preserve"> </w:t>
      </w:r>
      <w:hyperlink r:id="rId31">
        <w:r>
          <w:rPr>
            <w:rStyle w:val="Hyperlink"/>
          </w:rPr>
          <w:t xml:space="preserve">[14]</w:t>
        </w:r>
      </w:hyperlink>
    </w:p>
    <w:p>
      <w:pPr>
        <w:pStyle w:val="BodyText"/>
      </w:pPr>
      <w:r>
        <w:rPr>
          <w:b/>
          <w:bCs/>
        </w:rPr>
        <w:t xml:space="preserve">Comparison table of major token and interoperability standards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Standard / system</w:t>
            </w:r>
          </w:p>
        </w:tc>
        <w:tc>
          <w:tcPr/>
          <w:p>
            <w:pPr>
              <w:pStyle w:val="Compact"/>
            </w:pPr>
            <w:r>
              <w:t xml:space="preserve">Common name</w:t>
            </w:r>
          </w:p>
        </w:tc>
        <w:tc>
          <w:tcPr/>
          <w:p>
            <w:pPr>
              <w:pStyle w:val="Compact"/>
            </w:pPr>
            <w:r>
              <w:t xml:space="preserve">What it represents</w:t>
            </w:r>
          </w:p>
        </w:tc>
        <w:tc>
          <w:tcPr/>
          <w:p>
            <w:pPr>
              <w:pStyle w:val="Compact"/>
            </w:pPr>
            <w:r>
              <w:t xml:space="preserve">Core mechanics (high level)</w:t>
            </w:r>
          </w:p>
        </w:tc>
        <w:tc>
          <w:tcPr/>
          <w:p>
            <w:pPr>
              <w:pStyle w:val="Compact"/>
            </w:pPr>
            <w:r>
              <w:t xml:space="preserve">Typical use</w:t>
            </w:r>
          </w:p>
        </w:tc>
        <w:tc>
          <w:tcPr/>
          <w:p>
            <w:pPr>
              <w:pStyle w:val="Compact"/>
            </w:pPr>
            <w:r>
              <w:t xml:space="preserve">Primary spec/source</w:t>
            </w:r>
          </w:p>
        </w:tc>
      </w:tr>
      <w:tr>
        <w:tc>
          <w:tcPr/>
          <w:p>
            <w:pPr>
              <w:pStyle w:val="Compact"/>
            </w:pPr>
            <w:r>
              <w:t xml:space="preserve">ERC-20</w:t>
            </w:r>
          </w:p>
        </w:tc>
        <w:tc>
          <w:tcPr/>
          <w:p>
            <w:pPr>
              <w:pStyle w:val="Compact"/>
            </w:pPr>
            <w:r>
              <w:t xml:space="preserve">Fungible token</w:t>
            </w:r>
          </w:p>
        </w:tc>
        <w:tc>
          <w:tcPr/>
          <w:p>
            <w:pPr>
              <w:pStyle w:val="Compact"/>
            </w:pPr>
            <w:r>
              <w:t xml:space="preserve">One balance per address</w:t>
            </w:r>
          </w:p>
        </w:tc>
        <w:tc>
          <w:tcPr/>
          <w:p>
            <w:pPr>
              <w:pStyle w:val="Compact"/>
            </w:pPr>
            <w:r>
              <w:rPr>
                <w:rStyle w:val="VerbatimChar"/>
              </w:rPr>
              <w:t xml:space="preserve">balanceOf</w:t>
            </w:r>
            <w:r>
              <w:t xml:space="preserve">,</w:t>
            </w:r>
            <w:r>
              <w:t xml:space="preserve"> </w:t>
            </w:r>
            <w:r>
              <w:rPr>
                <w:rStyle w:val="VerbatimChar"/>
              </w:rPr>
              <w:t xml:space="preserve">transfer</w:t>
            </w:r>
            <w:r>
              <w:t xml:space="preserve">, delegated spend via</w:t>
            </w:r>
            <w:r>
              <w:t xml:space="preserve"> </w:t>
            </w:r>
            <w:r>
              <w:rPr>
                <w:rStyle w:val="VerbatimChar"/>
              </w:rPr>
              <w:t xml:space="preserve">approve</w:t>
            </w:r>
            <w:r>
              <w:t xml:space="preserve">/</w:t>
            </w:r>
            <w:r>
              <w:rPr>
                <w:rStyle w:val="VerbatimChar"/>
              </w:rPr>
              <w:t xml:space="preserve">transferFrom</w:t>
            </w:r>
            <w:r>
              <w:t xml:space="preserve">;</w:t>
            </w:r>
            <w:r>
              <w:t xml:space="preserve"> </w:t>
            </w:r>
            <w:r>
              <w:rPr>
                <w:rStyle w:val="VerbatimChar"/>
              </w:rPr>
              <w:t xml:space="preserve">Transfer</w:t>
            </w:r>
            <w:r>
              <w:t xml:space="preserve">/</w:t>
            </w:r>
            <w:r>
              <w:rPr>
                <w:rStyle w:val="VerbatimChar"/>
              </w:rPr>
              <w:t xml:space="preserve">Approval</w:t>
            </w:r>
            <w:r>
              <w:t xml:space="preserve"> </w:t>
            </w:r>
            <w:r>
              <w:t xml:space="preserve">events</w:t>
            </w:r>
          </w:p>
        </w:tc>
        <w:tc>
          <w:tcPr/>
          <w:p>
            <w:pPr>
              <w:pStyle w:val="Compact"/>
            </w:pPr>
            <w:r>
              <w:t xml:space="preserve">Stablecoins, governance tokens, utility tokens, DeFi assets</w:t>
            </w:r>
          </w:p>
        </w:tc>
        <w:tc>
          <w:tcPr/>
          <w:p>
            <w:pPr>
              <w:pStyle w:val="Compact"/>
            </w:pPr>
            <w:r>
              <w:t xml:space="preserve">ERC-20</w:t>
            </w:r>
            <w:r>
              <w:t xml:space="preserve"> </w:t>
            </w:r>
            <w:hyperlink r:id="rId22">
              <w:r>
                <w:rPr>
                  <w:rStyle w:val="Hyperlink"/>
                </w:rPr>
                <w:t xml:space="preserve">[3]</w:t>
              </w:r>
            </w:hyperlink>
          </w:p>
        </w:tc>
      </w:tr>
      <w:tr>
        <w:tc>
          <w:tcPr/>
          <w:p>
            <w:pPr>
              <w:pStyle w:val="Compact"/>
            </w:pPr>
            <w:r>
              <w:t xml:space="preserve">ERC-721</w:t>
            </w:r>
          </w:p>
        </w:tc>
        <w:tc>
          <w:tcPr/>
          <w:p>
            <w:pPr>
              <w:pStyle w:val="Compact"/>
            </w:pPr>
            <w:r>
              <w:t xml:space="preserve">NFT</w:t>
            </w:r>
          </w:p>
        </w:tc>
        <w:tc>
          <w:tcPr/>
          <w:p>
            <w:pPr>
              <w:pStyle w:val="Compact"/>
            </w:pPr>
            <w:r>
              <w:t xml:space="preserve">Unique token IDs</w:t>
            </w:r>
          </w:p>
        </w:tc>
        <w:tc>
          <w:tcPr/>
          <w:p>
            <w:pPr>
              <w:pStyle w:val="Compact"/>
            </w:pPr>
            <w:r>
              <w:t xml:space="preserve">Ownership tracked per</w:t>
            </w:r>
            <w:r>
              <w:t xml:space="preserve"> </w:t>
            </w:r>
            <w:r>
              <w:rPr>
                <w:rStyle w:val="VerbatimChar"/>
              </w:rPr>
              <w:t xml:space="preserve">tokenId</w:t>
            </w:r>
            <w:r>
              <w:t xml:space="preserve">; optional metadata extension with</w:t>
            </w:r>
            <w:r>
              <w:t xml:space="preserve"> </w:t>
            </w:r>
            <w:r>
              <w:rPr>
                <w:rStyle w:val="VerbatimChar"/>
              </w:rPr>
              <w:t xml:space="preserve">tokenURI</w:t>
            </w:r>
            <w:r>
              <w:t xml:space="preserve"> </w:t>
            </w:r>
            <w:r>
              <w:t xml:space="preserve">→ JSON schema</w:t>
            </w:r>
          </w:p>
        </w:tc>
        <w:tc>
          <w:tcPr/>
          <w:p>
            <w:pPr>
              <w:pStyle w:val="Compact"/>
            </w:pPr>
            <w:r>
              <w:t xml:space="preserve">NFTs, credentials, unique collectibles, property-like registries</w:t>
            </w:r>
          </w:p>
        </w:tc>
        <w:tc>
          <w:tcPr/>
          <w:p>
            <w:pPr>
              <w:pStyle w:val="Compact"/>
            </w:pPr>
            <w:r>
              <w:t xml:space="preserve">ERC-721</w:t>
            </w:r>
            <w:r>
              <w:t xml:space="preserve"> </w:t>
            </w:r>
            <w:hyperlink r:id="rId28">
              <w:r>
                <w:rPr>
                  <w:rStyle w:val="Hyperlink"/>
                </w:rPr>
                <w:t xml:space="preserve">[13]</w:t>
              </w:r>
            </w:hyperlink>
          </w:p>
        </w:tc>
      </w:tr>
      <w:tr>
        <w:tc>
          <w:tcPr/>
          <w:p>
            <w:pPr>
              <w:pStyle w:val="Compact"/>
            </w:pPr>
            <w:r>
              <w:t xml:space="preserve">ERC-1155</w:t>
            </w:r>
          </w:p>
        </w:tc>
        <w:tc>
          <w:tcPr/>
          <w:p>
            <w:pPr>
              <w:pStyle w:val="Compact"/>
            </w:pPr>
            <w:r>
              <w:t xml:space="preserve">Multi-token</w:t>
            </w:r>
          </w:p>
        </w:tc>
        <w:tc>
          <w:tcPr/>
          <w:p>
            <w:pPr>
              <w:pStyle w:val="Compact"/>
            </w:pPr>
            <w:r>
              <w:t xml:space="preserve">Many token IDs (fungible + non-fungible) in one contract</w:t>
            </w:r>
          </w:p>
        </w:tc>
        <w:tc>
          <w:tcPr/>
          <w:p>
            <w:pPr>
              <w:pStyle w:val="Compact"/>
            </w:pPr>
            <w:r>
              <w:t xml:space="preserve">Batch operations; “safe transfer” rules; metadata URI schema; enumeration via events recommended</w:t>
            </w:r>
          </w:p>
        </w:tc>
        <w:tc>
          <w:tcPr/>
          <w:p>
            <w:pPr>
              <w:pStyle w:val="Compact"/>
            </w:pPr>
            <w:r>
              <w:t xml:space="preserve">Gaming items, semi-fungible assets, large collections</w:t>
            </w:r>
          </w:p>
        </w:tc>
        <w:tc>
          <w:tcPr/>
          <w:p>
            <w:pPr>
              <w:pStyle w:val="Compact"/>
            </w:pPr>
            <w:r>
              <w:t xml:space="preserve">ERC-1155</w:t>
            </w:r>
            <w:r>
              <w:t xml:space="preserve"> </w:t>
            </w:r>
            <w:hyperlink r:id="rId31">
              <w:r>
                <w:rPr>
                  <w:rStyle w:val="Hyperlink"/>
                </w:rPr>
                <w:t xml:space="preserve">[14]</w:t>
              </w:r>
            </w:hyperlink>
          </w:p>
        </w:tc>
      </w:tr>
      <w:tr>
        <w:tc>
          <w:tcPr/>
          <w:p>
            <w:pPr>
              <w:pStyle w:val="Compact"/>
            </w:pPr>
            <w:r>
              <w:t xml:space="preserve">ERC-777</w:t>
            </w:r>
          </w:p>
        </w:tc>
        <w:tc>
          <w:tcPr/>
          <w:p>
            <w:pPr>
              <w:pStyle w:val="Compact"/>
            </w:pPr>
            <w:r>
              <w:t xml:space="preserve">Advanced fungible token</w:t>
            </w:r>
          </w:p>
        </w:tc>
        <w:tc>
          <w:tcPr/>
          <w:p>
            <w:pPr>
              <w:pStyle w:val="Compact"/>
            </w:pPr>
            <w:r>
              <w:t xml:space="preserve">Fungible tokens with hooks/operators</w:t>
            </w:r>
          </w:p>
        </w:tc>
        <w:tc>
          <w:tcPr/>
          <w:p>
            <w:pPr>
              <w:pStyle w:val="Compact"/>
            </w:pPr>
            <w:r>
              <w:t xml:space="preserve">Adds</w:t>
            </w:r>
            <w:r>
              <w:t xml:space="preserve"> </w:t>
            </w:r>
            <w:r>
              <w:rPr>
                <w:rStyle w:val="VerbatimChar"/>
              </w:rPr>
              <w:t xml:space="preserve">tokensToSend</w:t>
            </w:r>
            <w:r>
              <w:t xml:space="preserve">/</w:t>
            </w:r>
            <w:r>
              <w:rPr>
                <w:rStyle w:val="VerbatimChar"/>
              </w:rPr>
              <w:t xml:space="preserve">tokensReceived</w:t>
            </w:r>
            <w:r>
              <w:t xml:space="preserve"> </w:t>
            </w:r>
            <w:r>
              <w:t xml:space="preserve">hooks and operator model; intended to improve ERC-20 UX while remaining compatible</w:t>
            </w:r>
          </w:p>
        </w:tc>
        <w:tc>
          <w:tcPr/>
          <w:p>
            <w:pPr>
              <w:pStyle w:val="Compact"/>
            </w:pPr>
            <w:r>
              <w:t xml:space="preserve">Specialized tokens needing hooks/operator semantics</w:t>
            </w:r>
          </w:p>
        </w:tc>
        <w:tc>
          <w:tcPr/>
          <w:p>
            <w:pPr>
              <w:pStyle w:val="Compact"/>
            </w:pPr>
            <w:r>
              <w:t xml:space="preserve">ERC-777</w:t>
            </w:r>
            <w:r>
              <w:t xml:space="preserve"> </w:t>
            </w:r>
            <w:hyperlink r:id="rId32">
              <w:r>
                <w:rPr>
                  <w:rStyle w:val="Hyperlink"/>
                </w:rPr>
                <w:t xml:space="preserve">[15]</w:t>
              </w:r>
            </w:hyperlink>
          </w:p>
        </w:tc>
      </w:tr>
      <w:tr>
        <w:tc>
          <w:tcPr/>
          <w:p>
            <w:pPr>
              <w:pStyle w:val="Compact"/>
            </w:pPr>
            <w:r>
              <w:t xml:space="preserve">ERC-2612</w:t>
            </w:r>
          </w:p>
        </w:tc>
        <w:tc>
          <w:tcPr/>
          <w:p>
            <w:pPr>
              <w:pStyle w:val="Compact"/>
            </w:pPr>
            <w:r>
              <w:t xml:space="preserve">“Permit” approvals</w:t>
            </w:r>
          </w:p>
        </w:tc>
        <w:tc>
          <w:tcPr/>
          <w:p>
            <w:pPr>
              <w:pStyle w:val="Compact"/>
            </w:pPr>
            <w:r>
              <w:t xml:space="preserve">ERC-20 approvals via signature</w:t>
            </w:r>
          </w:p>
        </w:tc>
        <w:tc>
          <w:tcPr/>
          <w:p>
            <w:pPr>
              <w:pStyle w:val="Compact"/>
            </w:pPr>
            <w:r>
              <w:t xml:space="preserve">Adds</w:t>
            </w:r>
            <w:r>
              <w:t xml:space="preserve"> </w:t>
            </w:r>
            <w:r>
              <w:rPr>
                <w:rStyle w:val="VerbatimChar"/>
              </w:rPr>
              <w:t xml:space="preserve">permit</w:t>
            </w:r>
            <w:r>
              <w:t xml:space="preserve"> </w:t>
            </w:r>
            <w:r>
              <w:t xml:space="preserve">allowing allowance updates via signed message; uses typed structured signing</w:t>
            </w:r>
          </w:p>
        </w:tc>
        <w:tc>
          <w:tcPr/>
          <w:p>
            <w:pPr>
              <w:pStyle w:val="Compact"/>
            </w:pPr>
            <w:r>
              <w:t xml:space="preserve">UX improvement (fewer transactions for approvals)</w:t>
            </w:r>
          </w:p>
        </w:tc>
        <w:tc>
          <w:tcPr/>
          <w:p>
            <w:pPr>
              <w:pStyle w:val="Compact"/>
            </w:pPr>
            <w:r>
              <w:t xml:space="preserve">ERC-2612; EIP-712</w:t>
            </w:r>
            <w:r>
              <w:t xml:space="preserve"> </w:t>
            </w:r>
            <w:hyperlink r:id="rId33">
              <w:r>
                <w:rPr>
                  <w:rStyle w:val="Hyperlink"/>
                </w:rPr>
                <w:t xml:space="preserve">[16]</w:t>
              </w:r>
            </w:hyperlink>
          </w:p>
        </w:tc>
      </w:tr>
      <w:tr>
        <w:tc>
          <w:tcPr/>
          <w:p>
            <w:pPr>
              <w:pStyle w:val="Compact"/>
            </w:pPr>
            <w:r>
              <w:t xml:space="preserve">ERC-4626</w:t>
            </w:r>
          </w:p>
        </w:tc>
        <w:tc>
          <w:tcPr/>
          <w:p>
            <w:pPr>
              <w:pStyle w:val="Compact"/>
            </w:pPr>
            <w:r>
              <w:t xml:space="preserve">Tokenized vault shares</w:t>
            </w:r>
          </w:p>
        </w:tc>
        <w:tc>
          <w:tcPr/>
          <w:p>
            <w:pPr>
              <w:pStyle w:val="Compact"/>
            </w:pPr>
            <w:r>
              <w:t xml:space="preserve">Shares representing a claim on vault assets</w:t>
            </w:r>
          </w:p>
        </w:tc>
        <w:tc>
          <w:tcPr/>
          <w:p>
            <w:pPr>
              <w:pStyle w:val="Compact"/>
            </w:pPr>
            <w:r>
              <w:t xml:space="preserve">Standard API for depositing/withdrawing and share↔asset conversions; shares are ERC-20</w:t>
            </w:r>
          </w:p>
        </w:tc>
        <w:tc>
          <w:tcPr/>
          <w:p>
            <w:pPr>
              <w:pStyle w:val="Compact"/>
            </w:pPr>
            <w:r>
              <w:t xml:space="preserve">Yield vaults, lending aggregator shares, interest-bearing wrappers</w:t>
            </w:r>
          </w:p>
        </w:tc>
        <w:tc>
          <w:tcPr/>
          <w:p>
            <w:pPr>
              <w:pStyle w:val="Compact"/>
            </w:pPr>
            <w:r>
              <w:t xml:space="preserve">ERC-4626</w:t>
            </w:r>
            <w:r>
              <w:t xml:space="preserve"> </w:t>
            </w:r>
            <w:hyperlink r:id="rId34">
              <w:r>
                <w:rPr>
                  <w:rStyle w:val="Hyperlink"/>
                </w:rPr>
                <w:t xml:space="preserve">[17]</w:t>
              </w:r>
            </w:hyperlink>
          </w:p>
        </w:tc>
      </w:tr>
      <w:tr>
        <w:tc>
          <w:tcPr/>
          <w:p>
            <w:pPr>
              <w:pStyle w:val="Compact"/>
            </w:pPr>
            <w:r>
              <w:t xml:space="preserve">BEP-20</w:t>
            </w:r>
          </w:p>
        </w:tc>
        <w:tc>
          <w:tcPr/>
          <w:p>
            <w:pPr>
              <w:pStyle w:val="Compact"/>
            </w:pPr>
            <w:r>
              <w:t xml:space="preserve">BNB Smart Chain tokens</w:t>
            </w:r>
          </w:p>
        </w:tc>
        <w:tc>
          <w:tcPr/>
          <w:p>
            <w:pPr>
              <w:pStyle w:val="Compact"/>
            </w:pPr>
            <w:r>
              <w:t xml:space="preserve">ERC-20-like fungible token (with cross-chain considerations)</w:t>
            </w:r>
          </w:p>
        </w:tc>
        <w:tc>
          <w:tcPr/>
          <w:p>
            <w:pPr>
              <w:pStyle w:val="Compact"/>
            </w:pPr>
            <w:r>
              <w:t xml:space="preserve">Derives from ERC-20; requires</w:t>
            </w:r>
            <w:r>
              <w:t xml:space="preserve"> </w:t>
            </w:r>
            <w:r>
              <w:rPr>
                <w:rStyle w:val="VerbatimChar"/>
              </w:rPr>
              <w:t xml:space="preserve">symbol</w:t>
            </w:r>
            <w:r>
              <w:t xml:space="preserve"> </w:t>
            </w:r>
            <w:r>
              <w:t xml:space="preserve">and</w:t>
            </w:r>
            <w:r>
              <w:t xml:space="preserve"> </w:t>
            </w:r>
            <w:r>
              <w:rPr>
                <w:rStyle w:val="VerbatimChar"/>
              </w:rPr>
              <w:t xml:space="preserve">decimals</w:t>
            </w:r>
            <w:r>
              <w:t xml:space="preserve"> </w:t>
            </w:r>
            <w:r>
              <w:t xml:space="preserve">for cross-chain flows; includes approval-race UI warning</w:t>
            </w:r>
          </w:p>
        </w:tc>
        <w:tc>
          <w:tcPr/>
          <w:p>
            <w:pPr>
              <w:pStyle w:val="Compact"/>
            </w:pPr>
            <w:r>
              <w:t xml:space="preserve">BSC ecosystem tokens</w:t>
            </w:r>
          </w:p>
        </w:tc>
        <w:tc>
          <w:tcPr/>
          <w:p>
            <w:pPr>
              <w:pStyle w:val="Compact"/>
            </w:pPr>
            <w:r>
              <w:t xml:space="preserve">BEP-20 spec</w:t>
            </w:r>
            <w:r>
              <w:t xml:space="preserve"> </w:t>
            </w:r>
            <w:hyperlink r:id="rId35">
              <w:r>
                <w:rPr>
                  <w:rStyle w:val="Hyperlink"/>
                </w:rPr>
                <w:t xml:space="preserve">[18]</w:t>
              </w:r>
            </w:hyperlink>
          </w:p>
        </w:tc>
      </w:tr>
      <w:tr>
        <w:tc>
          <w:tcPr/>
          <w:p>
            <w:pPr>
              <w:pStyle w:val="Compact"/>
            </w:pPr>
            <w:r>
              <w:t xml:space="preserve">TRC-20</w:t>
            </w:r>
          </w:p>
        </w:tc>
        <w:tc>
          <w:tcPr/>
          <w:p>
            <w:pPr>
              <w:pStyle w:val="Compact"/>
            </w:pPr>
            <w:r>
              <w:t xml:space="preserve">TRON fungible tokens</w:t>
            </w:r>
          </w:p>
        </w:tc>
        <w:tc>
          <w:tcPr/>
          <w:p>
            <w:pPr>
              <w:pStyle w:val="Compact"/>
            </w:pPr>
            <w:r>
              <w:t xml:space="preserve">ERC-20-like fungible token</w:t>
            </w:r>
          </w:p>
        </w:tc>
        <w:tc>
          <w:tcPr/>
          <w:p>
            <w:pPr>
              <w:pStyle w:val="Compact"/>
            </w:pPr>
            <w:r>
              <w:t xml:space="preserve">Similar required functions/events:</w:t>
            </w:r>
            <w:r>
              <w:t xml:space="preserve"> </w:t>
            </w:r>
            <w:r>
              <w:rPr>
                <w:rStyle w:val="VerbatimChar"/>
              </w:rPr>
              <w:t xml:space="preserve">transfer</w:t>
            </w:r>
            <w:r>
              <w:t xml:space="preserve">,</w:t>
            </w:r>
            <w:r>
              <w:t xml:space="preserve"> </w:t>
            </w:r>
            <w:r>
              <w:rPr>
                <w:rStyle w:val="VerbatimChar"/>
              </w:rPr>
              <w:t xml:space="preserve">approve</w:t>
            </w:r>
            <w:r>
              <w:t xml:space="preserve">,</w:t>
            </w:r>
            <w:r>
              <w:t xml:space="preserve"> </w:t>
            </w:r>
            <w:r>
              <w:rPr>
                <w:rStyle w:val="VerbatimChar"/>
              </w:rPr>
              <w:t xml:space="preserve">transferFrom</w:t>
            </w:r>
            <w:r>
              <w:t xml:space="preserve"> </w:t>
            </w:r>
            <w:r>
              <w:t xml:space="preserve">etc.</w:t>
            </w:r>
          </w:p>
        </w:tc>
        <w:tc>
          <w:tcPr/>
          <w:p>
            <w:pPr>
              <w:pStyle w:val="Compact"/>
            </w:pPr>
            <w:r>
              <w:t xml:space="preserve">TRON ecosystem fungible tokens</w:t>
            </w:r>
          </w:p>
        </w:tc>
        <w:tc>
          <w:tcPr/>
          <w:p>
            <w:pPr>
              <w:pStyle w:val="Compact"/>
            </w:pPr>
            <w:r>
              <w:t xml:space="preserve">TRON TRC-20 interface</w:t>
            </w:r>
            <w:r>
              <w:t xml:space="preserve"> </w:t>
            </w:r>
            <w:hyperlink r:id="rId36">
              <w:r>
                <w:rPr>
                  <w:rStyle w:val="Hyperlink"/>
                </w:rPr>
                <w:t xml:space="preserve">[19]</w:t>
              </w:r>
            </w:hyperlink>
          </w:p>
        </w:tc>
      </w:tr>
      <w:tr>
        <w:tc>
          <w:tcPr/>
          <w:p>
            <w:pPr>
              <w:pStyle w:val="Compact"/>
            </w:pPr>
            <w:r>
              <w:t xml:space="preserve">SPL Token (Token Program)</w:t>
            </w:r>
          </w:p>
        </w:tc>
        <w:tc>
          <w:tcPr/>
          <w:p>
            <w:pPr>
              <w:pStyle w:val="Compact"/>
            </w:pPr>
            <w:r>
              <w:t xml:space="preserve">Solana tokens</w:t>
            </w:r>
          </w:p>
        </w:tc>
        <w:tc>
          <w:tcPr/>
          <w:p>
            <w:pPr>
              <w:pStyle w:val="Compact"/>
            </w:pPr>
            <w:r>
              <w:t xml:space="preserve">Fungible &amp; non-fungible tokens via accounts</w:t>
            </w:r>
          </w:p>
        </w:tc>
        <w:tc>
          <w:tcPr/>
          <w:p>
            <w:pPr>
              <w:pStyle w:val="Compact"/>
            </w:pPr>
            <w:r>
              <w:t xml:space="preserve">Mint account stores supply + authorities; token accounts track ownership; mint authority controls issuance</w:t>
            </w:r>
          </w:p>
        </w:tc>
        <w:tc>
          <w:tcPr/>
          <w:p>
            <w:pPr>
              <w:pStyle w:val="Compact"/>
            </w:pPr>
            <w:r>
              <w:t xml:space="preserve">Solana tokens generally</w:t>
            </w:r>
          </w:p>
        </w:tc>
        <w:tc>
          <w:tcPr/>
          <w:p>
            <w:pPr>
              <w:pStyle w:val="Compact"/>
            </w:pPr>
            <w:r>
              <w:t xml:space="preserve">Solana token docs</w:t>
            </w:r>
            <w:r>
              <w:t xml:space="preserve"> </w:t>
            </w:r>
            <w:hyperlink r:id="rId29">
              <w:r>
                <w:rPr>
                  <w:rStyle w:val="Hyperlink"/>
                </w:rPr>
                <w:t xml:space="preserve">[10]</w:t>
              </w:r>
            </w:hyperlink>
          </w:p>
        </w:tc>
      </w:tr>
      <w:tr>
        <w:tc>
          <w:tcPr/>
          <w:p>
            <w:pPr>
              <w:pStyle w:val="Compact"/>
            </w:pPr>
            <w:r>
              <w:t xml:space="preserve">Token-2022 (extensions)</w:t>
            </w:r>
          </w:p>
        </w:tc>
        <w:tc>
          <w:tcPr/>
          <w:p>
            <w:pPr>
              <w:pStyle w:val="Compact"/>
            </w:pPr>
            <w:r>
              <w:t xml:space="preserve">Solana token extensions</w:t>
            </w:r>
          </w:p>
        </w:tc>
        <w:tc>
          <w:tcPr/>
          <w:p>
            <w:pPr>
              <w:pStyle w:val="Compact"/>
            </w:pPr>
            <w:r>
              <w:t xml:space="preserve">Token features via optional extensions</w:t>
            </w:r>
          </w:p>
        </w:tc>
        <w:tc>
          <w:tcPr/>
          <w:p>
            <w:pPr>
              <w:pStyle w:val="Compact"/>
            </w:pPr>
            <w:r>
              <w:t xml:space="preserve">Optional extensions add on-mint/on-account state; planning required because many extensions cannot be added later</w:t>
            </w:r>
          </w:p>
        </w:tc>
        <w:tc>
          <w:tcPr/>
          <w:p>
            <w:pPr>
              <w:pStyle w:val="Compact"/>
            </w:pPr>
            <w:r>
              <w:t xml:space="preserve">Transfer fees, non-transferable tokens, metadata pointers, etc.</w:t>
            </w:r>
          </w:p>
        </w:tc>
        <w:tc>
          <w:tcPr/>
          <w:p>
            <w:pPr>
              <w:pStyle w:val="Compact"/>
            </w:pPr>
            <w:r>
              <w:t xml:space="preserve">Solana extensions docs</w:t>
            </w:r>
            <w:r>
              <w:t xml:space="preserve"> </w:t>
            </w:r>
            <w:hyperlink r:id="rId37">
              <w:r>
                <w:rPr>
                  <w:rStyle w:val="Hyperlink"/>
                </w:rPr>
                <w:t xml:space="preserve">[20]</w:t>
              </w:r>
            </w:hyperlink>
          </w:p>
        </w:tc>
      </w:tr>
      <w:tr>
        <w:tc>
          <w:tcPr/>
          <w:p>
            <w:pPr>
              <w:pStyle w:val="Compact"/>
            </w:pPr>
            <w:r>
              <w:t xml:space="preserve">ICS-20</w:t>
            </w:r>
          </w:p>
        </w:tc>
        <w:tc>
          <w:tcPr/>
          <w:p>
            <w:pPr>
              <w:pStyle w:val="Compact"/>
            </w:pPr>
            <w:r>
              <w:t xml:space="preserve">IBC fungible transfer</w:t>
            </w:r>
          </w:p>
        </w:tc>
        <w:tc>
          <w:tcPr/>
          <w:p>
            <w:pPr>
              <w:pStyle w:val="Compact"/>
            </w:pPr>
            <w:r>
              <w:t xml:space="preserve">Cross-chain token transfer protocol (vouchers/escrow)</w:t>
            </w:r>
          </w:p>
        </w:tc>
        <w:tc>
          <w:tcPr/>
          <w:p>
            <w:pPr>
              <w:pStyle w:val="Compact"/>
            </w:pPr>
            <w:r>
              <w:t xml:space="preserve">Locks/escrows on source; mints vouchers on destination; denom tracing preserves provenance/fungibility</w:t>
            </w:r>
          </w:p>
        </w:tc>
        <w:tc>
          <w:tcPr/>
          <w:p>
            <w:pPr>
              <w:pStyle w:val="Compact"/>
            </w:pPr>
            <w:r>
              <w:t xml:space="preserve">Interchain fungible token movement (Cosmos ecosystem)</w:t>
            </w:r>
          </w:p>
        </w:tc>
        <w:tc>
          <w:tcPr/>
          <w:p>
            <w:pPr>
              <w:pStyle w:val="Compact"/>
            </w:pPr>
            <w:r>
              <w:t xml:space="preserve">ICS-20 spec</w:t>
            </w:r>
            <w:r>
              <w:t xml:space="preserve"> </w:t>
            </w:r>
            <w:hyperlink r:id="rId38">
              <w:r>
                <w:rPr>
                  <w:rStyle w:val="Hyperlink"/>
                </w:rPr>
                <w:t xml:space="preserve">[21]</w:t>
              </w:r>
            </w:hyperlink>
          </w:p>
        </w:tc>
      </w:tr>
      <w:tr>
        <w:tc>
          <w:tcPr/>
          <w:p>
            <w:pPr>
              <w:pStyle w:val="Compact"/>
            </w:pPr>
            <w:r>
              <w:t xml:space="preserve">XCM</w:t>
            </w:r>
          </w:p>
        </w:tc>
        <w:tc>
          <w:tcPr/>
          <w:p>
            <w:pPr>
              <w:pStyle w:val="Compact"/>
            </w:pPr>
            <w:r>
              <w:t xml:space="preserve">Polkadot cross-consensus messaging</w:t>
            </w:r>
          </w:p>
        </w:tc>
        <w:tc>
          <w:tcPr/>
          <w:p>
            <w:pPr>
              <w:pStyle w:val="Compact"/>
            </w:pPr>
            <w:r>
              <w:t xml:space="preserve">Interoperability message format</w:t>
            </w:r>
          </w:p>
        </w:tc>
        <w:tc>
          <w:tcPr/>
          <w:p>
            <w:pPr>
              <w:pStyle w:val="Compact"/>
            </w:pPr>
            <w:r>
              <w:t xml:space="preserve">Messaging language/format for cross-consensus communication</w:t>
            </w:r>
          </w:p>
        </w:tc>
        <w:tc>
          <w:tcPr/>
          <w:p>
            <w:pPr>
              <w:pStyle w:val="Compact"/>
            </w:pPr>
            <w:r>
              <w:t xml:space="preserve">Cross-chain / cross-consensus operations in Polkadot ecosystem</w:t>
            </w:r>
          </w:p>
        </w:tc>
        <w:tc>
          <w:tcPr/>
          <w:p>
            <w:pPr>
              <w:pStyle w:val="Compact"/>
            </w:pPr>
            <w:r>
              <w:t xml:space="preserve">XCM docs / format repo</w:t>
            </w:r>
            <w:r>
              <w:t xml:space="preserve"> </w:t>
            </w:r>
            <w:hyperlink r:id="rId39">
              <w:r>
                <w:rPr>
                  <w:rStyle w:val="Hyperlink"/>
                </w:rPr>
                <w:t xml:space="preserve">[22]</w:t>
              </w:r>
            </w:hyperlink>
          </w:p>
        </w:tc>
      </w:tr>
    </w:tbl>
    <w:bookmarkEnd w:id="40"/>
    <w:bookmarkStart w:id="41" w:name="X07e4da669daf3b447254c76d71a6c934523ada5"/>
    <w:p>
      <w:pPr>
        <w:pStyle w:val="Heading3"/>
      </w:pPr>
      <w:r>
        <w:t xml:space="preserve">Smart contract and token-program mechanics</w:t>
      </w:r>
    </w:p>
    <w:p>
      <w:pPr>
        <w:pStyle w:val="FirstParagraph"/>
      </w:pPr>
      <w:r>
        <w:t xml:space="preserve">Token contracts (on EVM-like chains) are on-chain programs that maintain state (balances, allowances, ownership mappings) and expose standardized functions.</w:t>
      </w:r>
    </w:p>
    <w:p>
      <w:pPr>
        <w:pStyle w:val="BodyText"/>
      </w:pPr>
      <w:r>
        <w:t xml:space="preserve">Key mechanics include:</w:t>
      </w:r>
      <w:r>
        <w:t xml:space="preserve"> </w:t>
      </w:r>
      <w:r>
        <w:t xml:space="preserve">-</w:t>
      </w:r>
      <w:r>
        <w:t xml:space="preserve"> </w:t>
      </w:r>
      <w:r>
        <w:rPr>
          <w:b/>
          <w:bCs/>
        </w:rPr>
        <w:t xml:space="preserve">State transitions are transaction-driven.</w:t>
      </w:r>
      <w:r>
        <w:t xml:space="preserve"> </w:t>
      </w:r>
      <w:r>
        <w:t xml:space="preserve">For ERC-20, a</w:t>
      </w:r>
      <w:r>
        <w:t xml:space="preserve"> </w:t>
      </w:r>
      <w:r>
        <w:rPr>
          <w:rStyle w:val="VerbatimChar"/>
        </w:rPr>
        <w:t xml:space="preserve">transfer</w:t>
      </w:r>
      <w:r>
        <w:t xml:space="preserve"> </w:t>
      </w:r>
      <w:r>
        <w:t xml:space="preserve">call reduces sender balance and increases recipient balance, emitting a</w:t>
      </w:r>
      <w:r>
        <w:t xml:space="preserve"> </w:t>
      </w:r>
      <w:r>
        <w:rPr>
          <w:rStyle w:val="VerbatimChar"/>
        </w:rPr>
        <w:t xml:space="preserve">Transfer</w:t>
      </w:r>
      <w:r>
        <w:t xml:space="preserve"> </w:t>
      </w:r>
      <w:r>
        <w:t xml:space="preserve">event.</w:t>
      </w:r>
      <w:r>
        <w:t xml:space="preserve"> </w:t>
      </w:r>
      <w:hyperlink r:id="rId22">
        <w:r>
          <w:rPr>
            <w:rStyle w:val="Hyperlink"/>
          </w:rPr>
          <w:t xml:space="preserve">[3]</w:t>
        </w:r>
      </w:hyperlink>
      <w:r>
        <w:br/>
      </w:r>
      <w:r>
        <w:t xml:space="preserve">-</w:t>
      </w:r>
      <w:r>
        <w:t xml:space="preserve"> </w:t>
      </w:r>
      <w:r>
        <w:rPr>
          <w:b/>
          <w:bCs/>
        </w:rPr>
        <w:t xml:space="preserve">Delegated spending.</w:t>
      </w:r>
      <w:r>
        <w:t xml:space="preserve"> </w:t>
      </w:r>
      <w:r>
        <w:t xml:space="preserve">ERC-20’s</w:t>
      </w:r>
      <w:r>
        <w:t xml:space="preserve"> </w:t>
      </w:r>
      <w:r>
        <w:rPr>
          <w:rStyle w:val="VerbatimChar"/>
        </w:rPr>
        <w:t xml:space="preserve">approve</w:t>
      </w:r>
      <w:r>
        <w:t xml:space="preserve"> </w:t>
      </w:r>
      <w:r>
        <w:t xml:space="preserve">+</w:t>
      </w:r>
      <w:r>
        <w:t xml:space="preserve"> </w:t>
      </w:r>
      <w:r>
        <w:rPr>
          <w:rStyle w:val="VerbatimChar"/>
        </w:rPr>
        <w:t xml:space="preserve">transferFrom</w:t>
      </w:r>
      <w:r>
        <w:t xml:space="preserve"> </w:t>
      </w:r>
      <w:r>
        <w:t xml:space="preserve">enables third parties (like DeFi contracts) to move tokens on a user’s behalf.</w:t>
      </w:r>
      <w:r>
        <w:t xml:space="preserve"> </w:t>
      </w:r>
      <w:hyperlink r:id="rId22">
        <w:r>
          <w:rPr>
            <w:rStyle w:val="Hyperlink"/>
          </w:rPr>
          <w:t xml:space="preserve">[23]</w:t>
        </w:r>
      </w:hyperlink>
      <w:r>
        <w:br/>
      </w:r>
      <w:r>
        <w:t xml:space="preserve">-</w:t>
      </w:r>
      <w:r>
        <w:t xml:space="preserve"> </w:t>
      </w:r>
      <w:r>
        <w:rPr>
          <w:b/>
          <w:bCs/>
        </w:rPr>
        <w:t xml:space="preserve">Allowance UX/security pitfalls.</w:t>
      </w:r>
      <w:r>
        <w:t xml:space="preserve"> </w:t>
      </w:r>
      <w:r>
        <w:t xml:space="preserve">ERC-20 explicitly warns of an allowance-change attack vector and recommends clients set allowance to</w:t>
      </w:r>
      <w:r>
        <w:t xml:space="preserve"> </w:t>
      </w:r>
      <w:r>
        <w:rPr>
          <w:rStyle w:val="VerbatimChar"/>
        </w:rPr>
        <w:t xml:space="preserve">0</w:t>
      </w:r>
      <w:r>
        <w:t xml:space="preserve"> </w:t>
      </w:r>
      <w:r>
        <w:t xml:space="preserve">before changing it to a new value for the same spender.</w:t>
      </w:r>
      <w:r>
        <w:t xml:space="preserve"> </w:t>
      </w:r>
      <w:hyperlink r:id="rId22">
        <w:r>
          <w:rPr>
            <w:rStyle w:val="Hyperlink"/>
          </w:rPr>
          <w:t xml:space="preserve">[24]</w:t>
        </w:r>
      </w:hyperlink>
      <w:r>
        <w:br/>
      </w:r>
      <w:r>
        <w:t xml:space="preserve">-</w:t>
      </w:r>
      <w:r>
        <w:t xml:space="preserve"> </w:t>
      </w:r>
      <w:r>
        <w:rPr>
          <w:b/>
          <w:bCs/>
        </w:rPr>
        <w:t xml:space="preserve">Hooks and richer semantics (optional).</w:t>
      </w:r>
      <w:r>
        <w:t xml:space="preserve"> </w:t>
      </w:r>
      <w:r>
        <w:t xml:space="preserve">ERC-777 introduces send/receive hooks and an operator model, attempting to allow single-transaction “send and notify” flows, which ERC-20 typically requires via approve/transferFrom patterns.</w:t>
      </w:r>
      <w:r>
        <w:t xml:space="preserve"> </w:t>
      </w:r>
      <w:hyperlink r:id="rId32">
        <w:r>
          <w:rPr>
            <w:rStyle w:val="Hyperlink"/>
          </w:rPr>
          <w:t xml:space="preserve">[15]</w:t>
        </w:r>
      </w:hyperlink>
      <w:r>
        <w:br/>
      </w:r>
      <w:r>
        <w:t xml:space="preserve">-</w:t>
      </w:r>
      <w:r>
        <w:t xml:space="preserve"> </w:t>
      </w:r>
      <w:r>
        <w:rPr>
          <w:b/>
          <w:bCs/>
        </w:rPr>
        <w:t xml:space="preserve">Program-based models (non-EVM).</w:t>
      </w:r>
      <w:r>
        <w:t xml:space="preserve"> </w:t>
      </w:r>
      <w:r>
        <w:t xml:space="preserve">On Solana, tokenization is implemented via token</w:t>
      </w:r>
      <w:r>
        <w:t xml:space="preserve"> </w:t>
      </w:r>
      <w:r>
        <w:rPr>
          <w:b/>
          <w:bCs/>
        </w:rPr>
        <w:t xml:space="preserve">programs</w:t>
      </w:r>
      <w:r>
        <w:t xml:space="preserve"> </w:t>
      </w:r>
      <w:r>
        <w:t xml:space="preserve">plus</w:t>
      </w:r>
      <w:r>
        <w:t xml:space="preserve"> </w:t>
      </w:r>
      <w:r>
        <w:rPr>
          <w:b/>
          <w:bCs/>
        </w:rPr>
        <w:t xml:space="preserve">mint accounts</w:t>
      </w:r>
      <w:r>
        <w:t xml:space="preserve"> </w:t>
      </w:r>
      <w:r>
        <w:t xml:space="preserve">and</w:t>
      </w:r>
      <w:r>
        <w:t xml:space="preserve"> </w:t>
      </w:r>
      <w:r>
        <w:rPr>
          <w:b/>
          <w:bCs/>
        </w:rPr>
        <w:t xml:space="preserve">token accounts</w:t>
      </w:r>
      <w:r>
        <w:t xml:space="preserve">; the mint account holds global token data such as supply and mint authority, and token accounts represent per-owner holdings.</w:t>
      </w:r>
      <w:r>
        <w:t xml:space="preserve"> </w:t>
      </w:r>
      <w:hyperlink r:id="rId29">
        <w:r>
          <w:rPr>
            <w:rStyle w:val="Hyperlink"/>
          </w:rPr>
          <w:t xml:space="preserve">[10]</w:t>
        </w:r>
      </w:hyperlink>
    </w:p>
    <w:bookmarkEnd w:id="41"/>
    <w:bookmarkStart w:id="43" w:name="X330a8216a5b8b9c4b7cf20a1f255f71f4858ce8"/>
    <w:p>
      <w:pPr>
        <w:pStyle w:val="Heading3"/>
      </w:pPr>
      <w:r>
        <w:t xml:space="preserve">On-chain vs off-chain asset representation</w:t>
      </w:r>
    </w:p>
    <w:p>
      <w:pPr>
        <w:pStyle w:val="FirstParagraph"/>
      </w:pPr>
      <w:r>
        <w:t xml:space="preserve">A “token” can be either the asset itself (native) or a claim/representation pointing to something else.</w:t>
      </w:r>
    </w:p>
    <w:p>
      <w:pPr>
        <w:pStyle w:val="BodyText"/>
      </w:pPr>
      <w:r>
        <w:t xml:space="preserve">A practical taxonomy:</w:t>
      </w:r>
    </w:p>
    <w:p>
      <w:pPr>
        <w:pStyle w:val="BodyText"/>
      </w:pPr>
      <w:r>
        <w:t xml:space="preserve">1)</w:t>
      </w:r>
      <w:r>
        <w:t xml:space="preserve"> </w:t>
      </w:r>
      <w:r>
        <w:rPr>
          <w:b/>
          <w:bCs/>
        </w:rPr>
        <w:t xml:space="preserve">Native on-chain assets (no off-chain claim)</w:t>
      </w:r>
      <w:r>
        <w:t xml:space="preserve"> </w:t>
      </w:r>
      <w:r>
        <w:t xml:space="preserve">- The token’s meaning comes from the protocol and its ecosystem (governance rights, in-protocol fees/utility, etc.).</w:t>
      </w:r>
      <w:r>
        <w:t xml:space="preserve"> </w:t>
      </w:r>
      <w:r>
        <w:t xml:space="preserve">- “Backing” is social/economic rather than legal.</w:t>
      </w:r>
    </w:p>
    <w:p>
      <w:pPr>
        <w:pStyle w:val="BodyText"/>
      </w:pPr>
      <w:r>
        <w:t xml:space="preserve">2)</w:t>
      </w:r>
      <w:r>
        <w:t xml:space="preserve"> </w:t>
      </w:r>
      <w:r>
        <w:rPr>
          <w:b/>
          <w:bCs/>
        </w:rPr>
        <w:t xml:space="preserve">On-chain claim against an issuer (off-chain assets or liabilities)</w:t>
      </w:r>
      <w:r>
        <w:t xml:space="preserve"> </w:t>
      </w:r>
      <w:r>
        <w:t xml:space="preserve">- Many stable-value tokens explicitly “purport to maintain a stable value” by referencing currency or other values—MiCA defines</w:t>
      </w:r>
      <w:r>
        <w:t xml:space="preserve"> </w:t>
      </w:r>
      <w:r>
        <w:rPr>
          <w:b/>
          <w:bCs/>
        </w:rPr>
        <w:t xml:space="preserve">asset-referenced tokens</w:t>
      </w:r>
      <w:r>
        <w:t xml:space="preserve"> </w:t>
      </w:r>
      <w:r>
        <w:t xml:space="preserve">and</w:t>
      </w:r>
      <w:r>
        <w:t xml:space="preserve"> </w:t>
      </w:r>
      <w:r>
        <w:rPr>
          <w:b/>
          <w:bCs/>
        </w:rPr>
        <w:t xml:space="preserve">e-money tokens</w:t>
      </w:r>
      <w:r>
        <w:t xml:space="preserve"> </w:t>
      </w:r>
      <w:r>
        <w:t xml:space="preserve">this way, and defines crypto-assets as digital representations of value or right transferable/storable via DLT.</w:t>
      </w:r>
      <w:r>
        <w:t xml:space="preserve"> </w:t>
      </w:r>
      <w:hyperlink r:id="rId27">
        <w:r>
          <w:rPr>
            <w:rStyle w:val="Hyperlink"/>
          </w:rPr>
          <w:t xml:space="preserve">[25]</w:t>
        </w:r>
      </w:hyperlink>
      <w:r>
        <w:br/>
      </w:r>
      <w:r>
        <w:t xml:space="preserve">- This model ties token value to issuer solvency, reserve quality, redemption rights, and legal enforceability—dimensions emphasized in policy discussions about stablecoins and tokenised finance.</w:t>
      </w:r>
      <w:r>
        <w:t xml:space="preserve"> </w:t>
      </w:r>
      <w:hyperlink r:id="rId42">
        <w:r>
          <w:rPr>
            <w:rStyle w:val="Hyperlink"/>
          </w:rPr>
          <w:t xml:space="preserve">[26]</w:t>
        </w:r>
      </w:hyperlink>
    </w:p>
    <w:p>
      <w:pPr>
        <w:pStyle w:val="BodyText"/>
      </w:pPr>
      <w:r>
        <w:t xml:space="preserve">3)</w:t>
      </w:r>
      <w:r>
        <w:t xml:space="preserve"> </w:t>
      </w:r>
      <w:r>
        <w:rPr>
          <w:b/>
          <w:bCs/>
        </w:rPr>
        <w:t xml:space="preserve">On-chain ownership record with off-chain metadata</w:t>
      </w:r>
      <w:r>
        <w:t xml:space="preserve"> </w:t>
      </w:r>
      <w:r>
        <w:t xml:space="preserve">- NFT standards explicitly normalize off-chain metadata via URIs. ERC-721’s optional metadata extension defines</w:t>
      </w:r>
      <w:r>
        <w:t xml:space="preserve"> </w:t>
      </w:r>
      <w:r>
        <w:rPr>
          <w:rStyle w:val="VerbatimChar"/>
        </w:rPr>
        <w:t xml:space="preserve">tokenURI</w:t>
      </w:r>
      <w:r>
        <w:t xml:space="preserve"> </w:t>
      </w:r>
      <w:r>
        <w:t xml:space="preserve">and notes that the URI may point to a JSON file conforming to a metadata schema, and that the URI</w:t>
      </w:r>
      <w:r>
        <w:t xml:space="preserve"> </w:t>
      </w:r>
      <w:r>
        <w:rPr>
          <w:i/>
          <w:iCs/>
        </w:rPr>
        <w:t xml:space="preserve">may be mutable</w:t>
      </w:r>
      <w:r>
        <w:t xml:space="preserve">.</w:t>
      </w:r>
      <w:r>
        <w:t xml:space="preserve"> </w:t>
      </w:r>
      <w:hyperlink r:id="rId28">
        <w:r>
          <w:rPr>
            <w:rStyle w:val="Hyperlink"/>
          </w:rPr>
          <w:t xml:space="preserve">[27]</w:t>
        </w:r>
      </w:hyperlink>
      <w:r>
        <w:br/>
      </w:r>
      <w:r>
        <w:t xml:space="preserve">- ERC-1155 similarly defines metadata URI expectations and schema, with client-side</w:t>
      </w:r>
      <w:r>
        <w:t xml:space="preserve"> </w:t>
      </w:r>
      <w:r>
        <w:rPr>
          <w:rStyle w:val="VerbatimChar"/>
        </w:rPr>
        <w:t xml:space="preserve">{id}</w:t>
      </w:r>
      <w:r>
        <w:t xml:space="preserve"> </w:t>
      </w:r>
      <w:r>
        <w:t xml:space="preserve">substitution conventions.</w:t>
      </w:r>
      <w:r>
        <w:t xml:space="preserve"> </w:t>
      </w:r>
      <w:hyperlink r:id="rId31">
        <w:r>
          <w:rPr>
            <w:rStyle w:val="Hyperlink"/>
          </w:rPr>
          <w:t xml:space="preserve">[28]</w:t>
        </w:r>
      </w:hyperlink>
    </w:p>
    <w:p>
      <w:pPr>
        <w:pStyle w:val="BodyText"/>
      </w:pPr>
      <w:r>
        <w:t xml:space="preserve">This distinction is central to risk: securities regulators and standard setters highlight that tokenisation can create confusion about whether investors hold the underlying asset or just a digital representation, introducing counterparty and legal risks if wrappers are poorly designed.</w:t>
      </w:r>
      <w:r>
        <w:t xml:space="preserve"> </w:t>
      </w:r>
      <w:hyperlink r:id="rId23">
        <w:r>
          <w:rPr>
            <w:rStyle w:val="Hyperlink"/>
          </w:rPr>
          <w:t xml:space="preserve">[29]</w:t>
        </w:r>
      </w:hyperlink>
    </w:p>
    <w:bookmarkEnd w:id="43"/>
    <w:bookmarkStart w:id="46" w:name="custody-and-control"/>
    <w:p>
      <w:pPr>
        <w:pStyle w:val="Heading3"/>
      </w:pPr>
      <w:r>
        <w:t xml:space="preserve">Custody and control</w:t>
      </w:r>
    </w:p>
    <w:p>
      <w:pPr>
        <w:pStyle w:val="FirstParagraph"/>
      </w:pPr>
      <w:r>
        <w:t xml:space="preserve">Custody is fundamentally about</w:t>
      </w:r>
      <w:r>
        <w:t xml:space="preserve"> </w:t>
      </w:r>
      <w:r>
        <w:rPr>
          <w:b/>
          <w:bCs/>
        </w:rPr>
        <w:t xml:space="preserve">control of the private keys</w:t>
      </w:r>
      <w:r>
        <w:t xml:space="preserve"> </w:t>
      </w:r>
      <w:r>
        <w:t xml:space="preserve">(or other access mechanisms) that can move tokens.</w:t>
      </w:r>
    </w:p>
    <w:p>
      <w:pPr>
        <w:pStyle w:val="Compact"/>
        <w:numPr>
          <w:ilvl w:val="0"/>
          <w:numId w:val="1001"/>
        </w:numPr>
      </w:pPr>
      <w:r>
        <w:rPr>
          <w:b/>
          <w:bCs/>
        </w:rPr>
        <w:t xml:space="preserve">Self-custody:</w:t>
      </w:r>
      <w:r>
        <w:t xml:space="preserve"> </w:t>
      </w:r>
      <w:r>
        <w:t xml:space="preserve">the user controls keys directly.</w:t>
      </w:r>
    </w:p>
    <w:p>
      <w:pPr>
        <w:pStyle w:val="Compact"/>
        <w:numPr>
          <w:ilvl w:val="0"/>
          <w:numId w:val="1001"/>
        </w:numPr>
      </w:pPr>
      <w:r>
        <w:rPr>
          <w:b/>
          <w:bCs/>
        </w:rPr>
        <w:t xml:space="preserve">Custodial services:</w:t>
      </w:r>
      <w:r>
        <w:t xml:space="preserve"> </w:t>
      </w:r>
      <w:r>
        <w:t xml:space="preserve">a third party controls (or can control) keys. MiCA’s definition of custody and administration explicitly includes safekeeping/controlling “the means of access … where applicable in the form of private cryptographic keys.”</w:t>
      </w:r>
      <w:r>
        <w:t xml:space="preserve"> </w:t>
      </w:r>
      <w:hyperlink r:id="rId27">
        <w:r>
          <w:rPr>
            <w:rStyle w:val="Hyperlink"/>
          </w:rPr>
          <w:t xml:space="preserve">[25]</w:t>
        </w:r>
      </w:hyperlink>
    </w:p>
    <w:p>
      <w:pPr>
        <w:pStyle w:val="Compact"/>
        <w:numPr>
          <w:ilvl w:val="0"/>
          <w:numId w:val="1001"/>
        </w:numPr>
      </w:pPr>
      <w:r>
        <w:rPr>
          <w:b/>
          <w:bCs/>
        </w:rPr>
        <w:t xml:space="preserve">Contract wallets and account abstraction:</w:t>
      </w:r>
      <w:r>
        <w:t xml:space="preserve"> </w:t>
      </w:r>
      <w:r>
        <w:t xml:space="preserve">Ethereum standards describe enabling contract-based signature validation (EIP-1271) and higher-layer account abstraction approaches (ERC-4337) that change how users authorize actions.</w:t>
      </w:r>
      <w:r>
        <w:t xml:space="preserve"> </w:t>
      </w:r>
      <w:hyperlink r:id="rId44">
        <w:r>
          <w:rPr>
            <w:rStyle w:val="Hyperlink"/>
          </w:rPr>
          <w:t xml:space="preserve">[30]</w:t>
        </w:r>
      </w:hyperlink>
    </w:p>
    <w:p>
      <w:pPr>
        <w:pStyle w:val="FirstParagraph"/>
      </w:pPr>
      <w:r>
        <w:t xml:space="preserve">Custody choices affect both security and regulation: AML/CFT frameworks treat many intermediaries as “virtual asset service providers” expected to implement controls like customer due diligence and information sharing (travel rule).</w:t>
      </w:r>
      <w:r>
        <w:t xml:space="preserve"> </w:t>
      </w:r>
      <w:hyperlink r:id="rId45">
        <w:r>
          <w:rPr>
            <w:rStyle w:val="Hyperlink"/>
          </w:rPr>
          <w:t xml:space="preserve">[31]</w:t>
        </w:r>
      </w:hyperlink>
    </w:p>
    <w:bookmarkEnd w:id="46"/>
    <w:bookmarkStart w:id="49" w:name="interoperability-and-bridging"/>
    <w:p>
      <w:pPr>
        <w:pStyle w:val="Heading3"/>
      </w:pPr>
      <w:r>
        <w:t xml:space="preserve">Interoperability and bridging</w:t>
      </w:r>
    </w:p>
    <w:p>
      <w:pPr>
        <w:pStyle w:val="FirstParagraph"/>
      </w:pPr>
      <w:r>
        <w:t xml:space="preserve">Interoperability occurs in two main ways:</w:t>
      </w:r>
    </w:p>
    <w:p>
      <w:pPr>
        <w:pStyle w:val="Compact"/>
        <w:numPr>
          <w:ilvl w:val="0"/>
          <w:numId w:val="1002"/>
        </w:numPr>
      </w:pPr>
      <w:r>
        <w:rPr>
          <w:b/>
          <w:bCs/>
        </w:rPr>
        <w:t xml:space="preserve">Within one chain:</w:t>
      </w:r>
      <w:r>
        <w:t xml:space="preserve"> </w:t>
      </w:r>
      <w:r>
        <w:t xml:space="preserve">standards enable composability (e.g., any ERC-20 can be used by apps assuming the interface).</w:t>
      </w:r>
      <w:r>
        <w:t xml:space="preserve"> </w:t>
      </w:r>
      <w:hyperlink r:id="rId22">
        <w:r>
          <w:rPr>
            <w:rStyle w:val="Hyperlink"/>
          </w:rPr>
          <w:t xml:space="preserve">[3]</w:t>
        </w:r>
      </w:hyperlink>
    </w:p>
    <w:p>
      <w:pPr>
        <w:pStyle w:val="Compact"/>
        <w:numPr>
          <w:ilvl w:val="0"/>
          <w:numId w:val="1002"/>
        </w:numPr>
      </w:pPr>
      <w:r>
        <w:rPr>
          <w:b/>
          <w:bCs/>
        </w:rPr>
        <w:t xml:space="preserve">Across chains:</w:t>
      </w:r>
      <w:r>
        <w:t xml:space="preserve"> </w:t>
      </w:r>
      <w:r>
        <w:t xml:space="preserve">bridging and message passing move representations between environments.</w:t>
      </w:r>
    </w:p>
    <w:p>
      <w:pPr>
        <w:pStyle w:val="FirstParagraph"/>
      </w:pPr>
      <w:r>
        <w:t xml:space="preserve">ICS-20 (Cosmos IBC) is a concrete example of a cross-chain fungible transfer protocol: it specifies packet data, denom tracing, and escrow/mint (vouchers) semantics designed to preserve fungibility and contain faults.</w:t>
      </w:r>
      <w:r>
        <w:t xml:space="preserve"> </w:t>
      </w:r>
      <w:hyperlink r:id="rId38">
        <w:r>
          <w:rPr>
            <w:rStyle w:val="Hyperlink"/>
          </w:rPr>
          <w:t xml:space="preserve">[21]</w:t>
        </w:r>
      </w:hyperlink>
      <w:r>
        <w:t xml:space="preserve"> </w:t>
      </w:r>
      <w:r>
        <w:t xml:space="preserve">Polkadot’s XCM describes a cross-consensus message format for communicating between consensus systems.</w:t>
      </w:r>
      <w:r>
        <w:t xml:space="preserve"> </w:t>
      </w:r>
      <w:hyperlink r:id="rId39">
        <w:r>
          <w:rPr>
            <w:rStyle w:val="Hyperlink"/>
          </w:rPr>
          <w:t xml:space="preserve">[22]</w:t>
        </w:r>
      </w:hyperlink>
    </w:p>
    <w:p>
      <w:pPr>
        <w:pStyle w:val="BodyText"/>
      </w:pPr>
      <w:r>
        <w:t xml:space="preserve">However, cross-chain bridges have historically been major loss centers. The Ronin bridge compromise (March 23, 2022) is documented by the network’s official postmortem and involved validator compromise leading to large asset loss.</w:t>
      </w:r>
      <w:r>
        <w:t xml:space="preserve"> </w:t>
      </w:r>
      <w:hyperlink r:id="rId47">
        <w:r>
          <w:rPr>
            <w:rStyle w:val="Hyperlink"/>
          </w:rPr>
          <w:t xml:space="preserve">[32]</w:t>
        </w:r>
      </w:hyperlink>
      <w:r>
        <w:t xml:space="preserve"> </w:t>
      </w:r>
      <w:r>
        <w:t xml:space="preserve">Industry analyses emphasize bridge hacks as a major security risk category.</w:t>
      </w:r>
      <w:r>
        <w:t xml:space="preserve"> </w:t>
      </w:r>
      <w:hyperlink r:id="rId48">
        <w:r>
          <w:rPr>
            <w:rStyle w:val="Hyperlink"/>
          </w:rPr>
          <w:t xml:space="preserve">[33]</w:t>
        </w:r>
      </w:hyperlink>
    </w:p>
    <w:bookmarkEnd w:id="49"/>
    <w:bookmarkStart w:id="54" w:name="token-economics-essentials"/>
    <w:p>
      <w:pPr>
        <w:pStyle w:val="Heading3"/>
      </w:pPr>
      <w:r>
        <w:t xml:space="preserve">Token economics essentials</w:t>
      </w:r>
    </w:p>
    <w:p>
      <w:pPr>
        <w:pStyle w:val="FirstParagraph"/>
      </w:pPr>
      <w:r>
        <w:t xml:space="preserve">Token economics is the design of how a token’s supply, distribution, and incentives work.</w:t>
      </w:r>
    </w:p>
    <w:p>
      <w:pPr>
        <w:pStyle w:val="BodyText"/>
      </w:pPr>
      <w:r>
        <w:rPr>
          <w:b/>
          <w:bCs/>
        </w:rPr>
        <w:t xml:space="preserve">Supply models (illustrative)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Supply design</w:t>
            </w:r>
          </w:p>
        </w:tc>
        <w:tc>
          <w:tcPr/>
          <w:p>
            <w:pPr>
              <w:pStyle w:val="Compact"/>
            </w:pPr>
            <w:r>
              <w:t xml:space="preserve">Mechanism</w:t>
            </w:r>
          </w:p>
        </w:tc>
        <w:tc>
          <w:tcPr/>
          <w:p>
            <w:pPr>
              <w:pStyle w:val="Compact"/>
            </w:pPr>
            <w:r>
              <w:t xml:space="preserve">Economic intuition</w:t>
            </w:r>
          </w:p>
        </w:tc>
        <w:tc>
          <w:tcPr/>
          <w:p>
            <w:pPr>
              <w:pStyle w:val="Compact"/>
            </w:pPr>
            <w:r>
              <w:t xml:space="preserve">Key risks</w:t>
            </w:r>
          </w:p>
        </w:tc>
      </w:tr>
      <w:tr>
        <w:tc>
          <w:tcPr/>
          <w:p>
            <w:pPr>
              <w:pStyle w:val="Compact"/>
            </w:pPr>
            <w:r>
              <w:t xml:space="preserve">Fixed cap / non-mintable</w:t>
            </w:r>
          </w:p>
        </w:tc>
        <w:tc>
          <w:tcPr/>
          <w:p>
            <w:pPr>
              <w:pStyle w:val="Compact"/>
            </w:pPr>
            <w:r>
              <w:t xml:space="preserve">No mint authority (or mint disabled)</w:t>
            </w:r>
          </w:p>
        </w:tc>
        <w:tc>
          <w:tcPr/>
          <w:p>
            <w:pPr>
              <w:pStyle w:val="Compact"/>
            </w:pPr>
            <w:r>
              <w:t xml:space="preserve">Scarcity narrative; reduces dilution risk</w:t>
            </w:r>
          </w:p>
        </w:tc>
        <w:tc>
          <w:tcPr/>
          <w:p>
            <w:pPr>
              <w:pStyle w:val="Compact"/>
            </w:pPr>
            <w:r>
              <w:t xml:space="preserve">Can still be “effectively inflationary” via wrappers/bridges; concentration risk remains</w:t>
            </w:r>
          </w:p>
        </w:tc>
      </w:tr>
      <w:tr>
        <w:tc>
          <w:tcPr/>
          <w:p>
            <w:pPr>
              <w:pStyle w:val="Compact"/>
            </w:pPr>
            <w:r>
              <w:t xml:space="preserve">Scheduled issuance / inflation</w:t>
            </w:r>
          </w:p>
        </w:tc>
        <w:tc>
          <w:tcPr/>
          <w:p>
            <w:pPr>
              <w:pStyle w:val="Compact"/>
            </w:pPr>
            <w:r>
              <w:t xml:space="preserve">Protocol mints new tokens on schedule</w:t>
            </w:r>
          </w:p>
        </w:tc>
        <w:tc>
          <w:tcPr/>
          <w:p>
            <w:pPr>
              <w:pStyle w:val="Compact"/>
            </w:pPr>
            <w:r>
              <w:t xml:space="preserve">Funds security (staking/mining) and incentives</w:t>
            </w:r>
          </w:p>
        </w:tc>
        <w:tc>
          <w:tcPr/>
          <w:p>
            <w:pPr>
              <w:pStyle w:val="Compact"/>
            </w:pPr>
            <w:r>
              <w:t xml:space="preserve">Dilution; governance capture; reliance on continued demand</w:t>
            </w:r>
          </w:p>
        </w:tc>
      </w:tr>
      <w:tr>
        <w:tc>
          <w:tcPr/>
          <w:p>
            <w:pPr>
              <w:pStyle w:val="Compact"/>
            </w:pPr>
            <w:r>
              <w:t xml:space="preserve">Disinflation toward terminal rate</w:t>
            </w:r>
          </w:p>
        </w:tc>
        <w:tc>
          <w:tcPr/>
          <w:p>
            <w:pPr>
              <w:pStyle w:val="Compact"/>
            </w:pPr>
            <w:r>
              <w:t xml:space="preserve">Inflation declines over time</w:t>
            </w:r>
          </w:p>
        </w:tc>
        <w:tc>
          <w:tcPr/>
          <w:p>
            <w:pPr>
              <w:pStyle w:val="Compact"/>
            </w:pPr>
            <w:r>
              <w:t xml:space="preserve">Gradual shift from bootstrapping → steady state</w:t>
            </w:r>
          </w:p>
        </w:tc>
        <w:tc>
          <w:tcPr/>
          <w:p>
            <w:pPr>
              <w:pStyle w:val="Compact"/>
            </w:pPr>
            <w:r>
              <w:t xml:space="preserve">Complex to model; political risk if schedule change proposed</w:t>
            </w:r>
          </w:p>
        </w:tc>
      </w:tr>
      <w:tr>
        <w:tc>
          <w:tcPr/>
          <w:p>
            <w:pPr>
              <w:pStyle w:val="Compact"/>
            </w:pPr>
            <w:r>
              <w:t xml:space="preserve">Burn / fee burn</w:t>
            </w:r>
          </w:p>
        </w:tc>
        <w:tc>
          <w:tcPr/>
          <w:p>
            <w:pPr>
              <w:pStyle w:val="Compact"/>
            </w:pPr>
            <w:r>
              <w:t xml:space="preserve">Part of fees destroyed</w:t>
            </w:r>
          </w:p>
        </w:tc>
        <w:tc>
          <w:tcPr/>
          <w:p>
            <w:pPr>
              <w:pStyle w:val="Compact"/>
            </w:pPr>
            <w:r>
              <w:t xml:space="preserve">Counterbalances issuance; can create net deflation in high usage</w:t>
            </w:r>
          </w:p>
        </w:tc>
        <w:tc>
          <w:tcPr/>
          <w:p>
            <w:pPr>
              <w:pStyle w:val="Compact"/>
            </w:pPr>
            <w:r>
              <w:t xml:space="preserve">Usage-dependent; can be gamed; can reduce security budget if poorly aligned</w:t>
            </w:r>
          </w:p>
        </w:tc>
      </w:tr>
    </w:tbl>
    <w:p>
      <w:pPr>
        <w:pStyle w:val="BodyText"/>
      </w:pPr>
      <w:r>
        <w:t xml:space="preserve">Examples of primary-mechanism evidence:</w:t>
      </w:r>
      <w:r>
        <w:t xml:space="preserve"> </w:t>
      </w:r>
      <w:r>
        <w:t xml:space="preserve">-</w:t>
      </w:r>
      <w:r>
        <w:t xml:space="preserve"> </w:t>
      </w:r>
      <w:r>
        <w:rPr>
          <w:b/>
          <w:bCs/>
        </w:rPr>
        <w:t xml:space="preserve">Bitcoin (early reference client logic):</w:t>
      </w:r>
      <w:r>
        <w:t xml:space="preserve"> </w:t>
      </w:r>
      <w:r>
        <w:t xml:space="preserve">code shows block subsidy starts at</w:t>
      </w:r>
      <w:r>
        <w:t xml:space="preserve"> </w:t>
      </w:r>
      <w:r>
        <w:rPr>
          <w:rStyle w:val="VerbatimChar"/>
        </w:rPr>
        <w:t xml:space="preserve">50 * COIN</w:t>
      </w:r>
      <w:r>
        <w:t xml:space="preserve"> </w:t>
      </w:r>
      <w:r>
        <w:t xml:space="preserve">and is bit-shifted (halved) every 210,000 blocks (“Subsidy is cut in half every 4 years”), which is the core issuance schedule underpinning the well-known supply cap behavior.</w:t>
      </w:r>
      <w:r>
        <w:t xml:space="preserve"> </w:t>
      </w:r>
      <w:hyperlink r:id="rId50">
        <w:r>
          <w:rPr>
            <w:rStyle w:val="Hyperlink"/>
          </w:rPr>
          <w:t xml:space="preserve">[34]</w:t>
        </w:r>
      </w:hyperlink>
      <w:r>
        <w:br/>
      </w:r>
      <w:r>
        <w:t xml:space="preserve">-</w:t>
      </w:r>
      <w:r>
        <w:t xml:space="preserve"> </w:t>
      </w:r>
      <w:r>
        <w:rPr>
          <w:b/>
          <w:bCs/>
        </w:rPr>
        <w:t xml:space="preserve">Ethereum EIP-1559:</w:t>
      </w:r>
      <w:r>
        <w:t xml:space="preserve"> </w:t>
      </w:r>
      <w:r>
        <w:t xml:space="preserve">specifies base fee is burned, which can counterbalance inflation and changes ETH supply dynamics.</w:t>
      </w:r>
      <w:r>
        <w:t xml:space="preserve"> </w:t>
      </w:r>
      <w:hyperlink r:id="rId51">
        <w:r>
          <w:rPr>
            <w:rStyle w:val="Hyperlink"/>
          </w:rPr>
          <w:t xml:space="preserve">[35]</w:t>
        </w:r>
      </w:hyperlink>
      <w:r>
        <w:br/>
      </w:r>
      <w:r>
        <w:t xml:space="preserve">-</w:t>
      </w:r>
      <w:r>
        <w:t xml:space="preserve"> </w:t>
      </w:r>
      <w:r>
        <w:rPr>
          <w:b/>
          <w:bCs/>
        </w:rPr>
        <w:t xml:space="preserve">Solana:</w:t>
      </w:r>
      <w:r>
        <w:t xml:space="preserve"> </w:t>
      </w:r>
      <w:r>
        <w:t xml:space="preserve">documentation describes mint authority behavior (if none, fixed supply) and a network inflation schedule (initial 8% decreasing 15% year-over-year to 1.5%).</w:t>
      </w:r>
      <w:r>
        <w:t xml:space="preserve"> </w:t>
      </w:r>
      <w:hyperlink r:id="rId29">
        <w:r>
          <w:rPr>
            <w:rStyle w:val="Hyperlink"/>
          </w:rPr>
          <w:t xml:space="preserve">[36]</w:t>
        </w:r>
      </w:hyperlink>
    </w:p>
    <w:p>
      <w:pPr>
        <w:pStyle w:val="BodyText"/>
      </w:pPr>
      <w:r>
        <w:rPr>
          <w:b/>
          <w:bCs/>
        </w:rPr>
        <w:t xml:space="preserve">Utility vs security/asset tokens (classification cues)</w:t>
      </w:r>
      <w:r>
        <w:t xml:space="preserve"> </w:t>
      </w:r>
      <w:r>
        <w:t xml:space="preserve">- MiCA defines “utility token” as a crypto-asset intended only to provide access to a good or service supplied by its issuer.</w:t>
      </w:r>
      <w:r>
        <w:t xml:space="preserve"> </w:t>
      </w:r>
      <w:hyperlink r:id="rId27">
        <w:r>
          <w:rPr>
            <w:rStyle w:val="Hyperlink"/>
          </w:rPr>
          <w:t xml:space="preserve">[25]</w:t>
        </w:r>
      </w:hyperlink>
      <w:r>
        <w:br/>
      </w:r>
      <w:r>
        <w:t xml:space="preserve">- FINMA</w:t>
      </w:r>
      <w:hyperlink r:id="rId27">
        <w:r>
          <w:rPr>
            <w:rStyle w:val="Hyperlink"/>
          </w:rPr>
          <w:t xml:space="preserve">[37]</w:t>
        </w:r>
      </w:hyperlink>
      <w:r>
        <w:t xml:space="preserve"> </w:t>
      </w:r>
      <w:r>
        <w:t xml:space="preserve">guidelines distinguish payment tokens, utility tokens, and asset tokens; asset tokens can represent debt/equity-like claims or future cash flows and may be analogous to traditional securities.</w:t>
      </w:r>
      <w:r>
        <w:t xml:space="preserve"> </w:t>
      </w:r>
      <w:hyperlink r:id="rId52">
        <w:r>
          <w:rPr>
            <w:rStyle w:val="Hyperlink"/>
          </w:rPr>
          <w:t xml:space="preserve">[38]</w:t>
        </w:r>
      </w:hyperlink>
      <w:r>
        <w:br/>
      </w:r>
      <w:r>
        <w:t xml:space="preserve">- In the U.S., the U.S. Securities and Exchange Commission</w:t>
      </w:r>
      <w:hyperlink r:id="rId47">
        <w:r>
          <w:rPr>
            <w:rStyle w:val="Hyperlink"/>
          </w:rPr>
          <w:t xml:space="preserve">[39]</w:t>
        </w:r>
      </w:hyperlink>
      <w:r>
        <w:t xml:space="preserve"> </w:t>
      </w:r>
      <w:r>
        <w:t xml:space="preserve">found (in the DAO report) that DAO Tokens were securities under the facts presented, highlighting that token classification is often fact-specific.</w:t>
      </w:r>
      <w:r>
        <w:t xml:space="preserve"> </w:t>
      </w:r>
      <w:hyperlink r:id="rId53">
        <w:r>
          <w:rPr>
            <w:rStyle w:val="Hyperlink"/>
          </w:rPr>
          <w:t xml:space="preserve">[40]</w:t>
        </w:r>
      </w:hyperlink>
    </w:p>
    <w:bookmarkEnd w:id="54"/>
    <w:bookmarkStart w:id="56" w:name="common-implementation-patterns"/>
    <w:p>
      <w:pPr>
        <w:pStyle w:val="Heading3"/>
      </w:pPr>
      <w:r>
        <w:t xml:space="preserve">Common implementation patterns</w:t>
      </w:r>
    </w:p>
    <w:p>
      <w:pPr>
        <w:pStyle w:val="FirstParagraph"/>
      </w:pPr>
      <w:r>
        <w:t xml:space="preserve">Common patterns (and why they exist) include:</w:t>
      </w:r>
      <w:r>
        <w:t xml:space="preserve"> </w:t>
      </w:r>
      <w:r>
        <w:t xml:space="preserve">-</w:t>
      </w:r>
      <w:r>
        <w:t xml:space="preserve"> </w:t>
      </w:r>
      <w:r>
        <w:rPr>
          <w:b/>
          <w:bCs/>
        </w:rPr>
        <w:t xml:space="preserve">Role-restricted minting and supply controls:</w:t>
      </w:r>
      <w:r>
        <w:t xml:space="preserve"> </w:t>
      </w:r>
      <w:r>
        <w:t xml:space="preserve">To manage inflation or issuance policies, many designs restrict minting to a privileged authority (as in Solana’s mint authority field).</w:t>
      </w:r>
      <w:r>
        <w:t xml:space="preserve"> </w:t>
      </w:r>
      <w:hyperlink r:id="rId29">
        <w:r>
          <w:rPr>
            <w:rStyle w:val="Hyperlink"/>
          </w:rPr>
          <w:t xml:space="preserve">[10]</w:t>
        </w:r>
      </w:hyperlink>
      <w:r>
        <w:br/>
      </w:r>
      <w:r>
        <w:t xml:space="preserve">-</w:t>
      </w:r>
      <w:r>
        <w:t xml:space="preserve"> </w:t>
      </w:r>
      <w:r>
        <w:rPr>
          <w:b/>
          <w:bCs/>
        </w:rPr>
        <w:t xml:space="preserve">Metadata via URIs rather than on-chain storage:</w:t>
      </w:r>
      <w:r>
        <w:t xml:space="preserve"> </w:t>
      </w:r>
      <w:r>
        <w:t xml:space="preserve">ERC-721 explicitly discusses that putting all metadata on-chain is too expensive and uses URIs to reference metadata JSON; mutability is possible, which is both feature and risk.</w:t>
      </w:r>
      <w:r>
        <w:t xml:space="preserve"> </w:t>
      </w:r>
      <w:hyperlink r:id="rId28">
        <w:r>
          <w:rPr>
            <w:rStyle w:val="Hyperlink"/>
          </w:rPr>
          <w:t xml:space="preserve">[27]</w:t>
        </w:r>
      </w:hyperlink>
      <w:r>
        <w:br/>
      </w:r>
      <w:r>
        <w:t xml:space="preserve">-</w:t>
      </w:r>
      <w:r>
        <w:t xml:space="preserve"> </w:t>
      </w:r>
      <w:r>
        <w:rPr>
          <w:b/>
          <w:bCs/>
        </w:rPr>
        <w:t xml:space="preserve">Standardized vault shares (ERC-4626):</w:t>
      </w:r>
      <w:r>
        <w:t xml:space="preserve"> </w:t>
      </w:r>
      <w:r>
        <w:t xml:space="preserve">Standardizes deposit/withdraw/share accounting to reduce unsafe bespoke adapters; explicitly frames shares as claims on fraction of underlying holdings.</w:t>
      </w:r>
      <w:r>
        <w:t xml:space="preserve"> </w:t>
      </w:r>
      <w:hyperlink r:id="rId34">
        <w:r>
          <w:rPr>
            <w:rStyle w:val="Hyperlink"/>
          </w:rPr>
          <w:t xml:space="preserve">[17]</w:t>
        </w:r>
      </w:hyperlink>
      <w:r>
        <w:br/>
      </w:r>
      <w:r>
        <w:t xml:space="preserve">-</w:t>
      </w:r>
      <w:r>
        <w:t xml:space="preserve"> </w:t>
      </w:r>
      <w:r>
        <w:rPr>
          <w:b/>
          <w:bCs/>
        </w:rPr>
        <w:t xml:space="preserve">Upgradeable contracts and proxies:</w:t>
      </w:r>
      <w:r>
        <w:t xml:space="preserve"> </w:t>
      </w:r>
      <w:r>
        <w:t xml:space="preserve">Standards like ERC-1967 define consistent proxy storage slots to avoid storage clashes and improve tool support; minimal proxies (ERC-1167) standardize cheap cloning.</w:t>
      </w:r>
      <w:r>
        <w:t xml:space="preserve"> </w:t>
      </w:r>
      <w:hyperlink r:id="rId55">
        <w:r>
          <w:rPr>
            <w:rStyle w:val="Hyperlink"/>
          </w:rPr>
          <w:t xml:space="preserve">[41]</w:t>
        </w:r>
      </w:hyperlink>
      <w:r>
        <w:br/>
      </w:r>
      <w:r>
        <w:t xml:space="preserve">-</w:t>
      </w:r>
      <w:r>
        <w:t xml:space="preserve"> </w:t>
      </w:r>
      <w:r>
        <w:rPr>
          <w:b/>
          <w:bCs/>
        </w:rPr>
        <w:t xml:space="preserve">Permit-based approvals (ERC-2612):</w:t>
      </w:r>
      <w:r>
        <w:t xml:space="preserve"> </w:t>
      </w:r>
      <w:r>
        <w:t xml:space="preserve">Reduces two-transaction UX overhead for allowance-based interactions by using signed approvals and structured signing (EIP-712).</w:t>
      </w:r>
      <w:r>
        <w:t xml:space="preserve"> </w:t>
      </w:r>
      <w:hyperlink r:id="rId33">
        <w:r>
          <w:rPr>
            <w:rStyle w:val="Hyperlink"/>
          </w:rPr>
          <w:t xml:space="preserve">[16]</w:t>
        </w:r>
      </w:hyperlink>
    </w:p>
    <w:p>
      <w:pPr>
        <w:pStyle w:val="BodyText"/>
      </w:pPr>
      <w:r>
        <w:rPr>
          <w:b/>
          <w:bCs/>
        </w:rPr>
        <w:t xml:space="preserve">Token lifecycle flowchart (conceptual)</w:t>
      </w:r>
    </w:p>
    <w:p>
      <w:pPr>
        <w:pStyle w:val="SourceCode"/>
      </w:pPr>
      <w:r>
        <w:rPr>
          <w:rStyle w:val="VerbatimChar"/>
        </w:rPr>
        <w:t xml:space="preserve">flowchart TD</w:t>
      </w:r>
      <w:r>
        <w:br/>
      </w:r>
      <w:r>
        <w:rPr>
          <w:rStyle w:val="VerbatimChar"/>
        </w:rPr>
        <w:t xml:space="preserve">  A[Design token: rights + economics + compliance assumptions] --&gt; B[Select standard: ERC-20/721/1155, SPL, etc.]</w:t>
      </w:r>
      <w:r>
        <w:br/>
      </w:r>
      <w:r>
        <w:rPr>
          <w:rStyle w:val="VerbatimChar"/>
        </w:rPr>
        <w:t xml:space="preserve">  B --&gt; C[Implement contract/program&lt;br/&gt;mint/burn/transfer/metadata/roles]</w:t>
      </w:r>
      <w:r>
        <w:br/>
      </w:r>
      <w:r>
        <w:rPr>
          <w:rStyle w:val="VerbatimChar"/>
        </w:rPr>
        <w:t xml:space="preserve">  C --&gt; D[Security work: testing + audits + threat modeling]</w:t>
      </w:r>
      <w:r>
        <w:br/>
      </w:r>
      <w:r>
        <w:rPr>
          <w:rStyle w:val="VerbatimChar"/>
        </w:rPr>
        <w:t xml:space="preserve">  D --&gt; E[Deploy to chain / initialize parameters&lt;br/&gt;set authorities, caps, URIs]</w:t>
      </w:r>
      <w:r>
        <w:br/>
      </w:r>
      <w:r>
        <w:rPr>
          <w:rStyle w:val="VerbatimChar"/>
        </w:rPr>
        <w:t xml:space="preserve">  E --&gt; F[Issuance / distribution&lt;br/&gt;mint to treasury, users, incentives]</w:t>
      </w:r>
      <w:r>
        <w:br/>
      </w:r>
      <w:r>
        <w:rPr>
          <w:rStyle w:val="VerbatimChar"/>
        </w:rPr>
        <w:t xml:space="preserve">  F --&gt; G[Secondary trading&lt;br/&gt;CEX/DEX + price discovery]</w:t>
      </w:r>
      <w:r>
        <w:br/>
      </w:r>
      <w:r>
        <w:rPr>
          <w:rStyle w:val="VerbatimChar"/>
        </w:rPr>
        <w:t xml:space="preserve">  G --&gt; H[Custody choices&lt;br/&gt;self-custody, custodian, smart wallet]</w:t>
      </w:r>
      <w:r>
        <w:br/>
      </w:r>
      <w:r>
        <w:rPr>
          <w:rStyle w:val="VerbatimChar"/>
        </w:rPr>
        <w:t xml:space="preserve">  H --&gt; I[Utility/governance use&lt;br/&gt;staking, fees, voting, access]</w:t>
      </w:r>
      <w:r>
        <w:br/>
      </w:r>
      <w:r>
        <w:rPr>
          <w:rStyle w:val="VerbatimChar"/>
        </w:rPr>
        <w:t xml:space="preserve">  I --&gt; J[Interoperability events&lt;br/&gt;wrapping/bridging/tokenized representations]</w:t>
      </w:r>
      <w:r>
        <w:br/>
      </w:r>
      <w:r>
        <w:rPr>
          <w:rStyle w:val="VerbatimChar"/>
        </w:rPr>
        <w:t xml:space="preserve">  J --&gt; K[Redemption or exit&lt;br/&gt;burn, redeem for underlying, unwind positions]</w:t>
      </w:r>
      <w:r>
        <w:br/>
      </w:r>
      <w:r>
        <w:rPr>
          <w:rStyle w:val="VerbatimChar"/>
        </w:rPr>
        <w:t xml:space="preserve">  K --&gt; L[Ongoing obligations&lt;br/&gt;upgrades, disclosures, risk controls]</w:t>
      </w:r>
    </w:p>
    <w:p>
      <w:pPr>
        <w:pStyle w:val="FirstParagraph"/>
      </w:pPr>
      <w:r>
        <w:t xml:space="preserve">This lifecycle is consistent with how token standards define issuance/transfer primitives (e.g., ERC-20 transfer/allowance; ERC-721 metadata URIs; ICS-20 escrow/mint vouchers), and with regulatory frameworks that impose ongoing obligations on issuers/service providers (e.g., MiCA issuer/service provider regime).</w:t>
      </w:r>
      <w:r>
        <w:t xml:space="preserve"> </w:t>
      </w:r>
      <w:hyperlink r:id="rId22">
        <w:r>
          <w:rPr>
            <w:rStyle w:val="Hyperlink"/>
          </w:rPr>
          <w:t xml:space="preserve">[42]</w:t>
        </w:r>
      </w:hyperlink>
    </w:p>
    <w:bookmarkEnd w:id="56"/>
    <w:bookmarkEnd w:id="57"/>
    <w:bookmarkStart w:id="63" w:name="benefits-risks-and-common-failure-modes"/>
    <w:p>
      <w:pPr>
        <w:pStyle w:val="Heading2"/>
      </w:pPr>
      <w:r>
        <w:t xml:space="preserve">Benefits, risks, and common failure modes</w:t>
      </w:r>
    </w:p>
    <w:p>
      <w:pPr>
        <w:pStyle w:val="FirstParagraph"/>
      </w:pPr>
      <w:r>
        <w:t xml:space="preserve">Tokenization’s benefits are real—but they are inseparable from a distinct risk surface that differs from traditional “book-entry” assets.</w:t>
      </w:r>
    </w:p>
    <w:bookmarkStart w:id="60" w:name="pros-and-cons-table-with-examples"/>
    <w:p>
      <w:pPr>
        <w:pStyle w:val="Heading3"/>
      </w:pPr>
      <w:r>
        <w:t xml:space="preserve">Pros and cons table with examples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Benefit / risk</w:t>
            </w:r>
          </w:p>
        </w:tc>
        <w:tc>
          <w:tcPr/>
          <w:p>
            <w:pPr>
              <w:pStyle w:val="Compact"/>
            </w:pPr>
            <w:r>
              <w:t xml:space="preserve">What it means</w:t>
            </w:r>
          </w:p>
        </w:tc>
        <w:tc>
          <w:tcPr/>
          <w:p>
            <w:pPr>
              <w:pStyle w:val="Compact"/>
            </w:pPr>
            <w:r>
              <w:t xml:space="preserve">Example / evidence</w:t>
            </w:r>
          </w:p>
        </w:tc>
      </w:tr>
      <w:tr>
        <w:tc>
          <w:tcPr/>
          <w:p>
            <w:pPr>
              <w:pStyle w:val="Compact"/>
            </w:pPr>
            <w:r>
              <w:t xml:space="preserve">Market structure</w:t>
            </w:r>
          </w:p>
        </w:tc>
        <w:tc>
          <w:tcPr/>
          <w:p>
            <w:pPr>
              <w:pStyle w:val="Compact"/>
            </w:pPr>
            <w:r>
              <w:rPr>
                <w:b/>
                <w:bCs/>
              </w:rPr>
              <w:t xml:space="preserve">Pro: standardized interoperability</w:t>
            </w:r>
          </w:p>
        </w:tc>
        <w:tc>
          <w:tcPr/>
          <w:p>
            <w:pPr>
              <w:pStyle w:val="Compact"/>
            </w:pPr>
            <w:r>
              <w:t xml:space="preserve">Standards allow wallets/exchanges/apps to reuse integrations</w:t>
            </w:r>
          </w:p>
        </w:tc>
        <w:tc>
          <w:tcPr/>
          <w:p>
            <w:pPr>
              <w:pStyle w:val="Compact"/>
            </w:pPr>
            <w:r>
              <w:t xml:space="preserve">ERC-20 motivation explicitly targets reuse across wallets and decentralized exchanges</w:t>
            </w:r>
            <w:r>
              <w:t xml:space="preserve"> </w:t>
            </w:r>
            <w:hyperlink r:id="rId22">
              <w:r>
                <w:rPr>
                  <w:rStyle w:val="Hyperlink"/>
                </w:rPr>
                <w:t xml:space="preserve">[3]</w:t>
              </w:r>
            </w:hyperlink>
          </w:p>
        </w:tc>
      </w:tr>
      <w:tr>
        <w:tc>
          <w:tcPr/>
          <w:p>
            <w:pPr>
              <w:pStyle w:val="Compact"/>
            </w:pPr>
            <w:r>
              <w:t xml:space="preserve">Operations</w:t>
            </w:r>
          </w:p>
        </w:tc>
        <w:tc>
          <w:tcPr/>
          <w:p>
            <w:pPr>
              <w:pStyle w:val="Compact"/>
            </w:pPr>
            <w:r>
              <w:rPr>
                <w:b/>
                <w:bCs/>
              </w:rPr>
              <w:t xml:space="preserve">Pro: programmability</w:t>
            </w:r>
          </w:p>
        </w:tc>
        <w:tc>
          <w:tcPr/>
          <w:p>
            <w:pPr>
              <w:pStyle w:val="Compact"/>
            </w:pPr>
            <w:r>
              <w:t xml:space="preserve">Rules (minting, burning, hooks, redemption logic) can be enforced by code</w:t>
            </w:r>
          </w:p>
        </w:tc>
        <w:tc>
          <w:tcPr/>
          <w:p>
            <w:pPr>
              <w:pStyle w:val="Compact"/>
            </w:pPr>
            <w:r>
              <w:t xml:space="preserve">ERC-777 hooks &amp; operators; ERC-4626 vault share claims</w:t>
            </w:r>
            <w:r>
              <w:t xml:space="preserve"> </w:t>
            </w:r>
            <w:hyperlink r:id="rId32">
              <w:r>
                <w:rPr>
                  <w:rStyle w:val="Hyperlink"/>
                </w:rPr>
                <w:t xml:space="preserve">[43]</w:t>
              </w:r>
            </w:hyperlink>
          </w:p>
        </w:tc>
      </w:tr>
      <w:tr>
        <w:tc>
          <w:tcPr/>
          <w:p>
            <w:pPr>
              <w:pStyle w:val="Compact"/>
            </w:pPr>
            <w:r>
              <w:t xml:space="preserve">Product design</w:t>
            </w:r>
          </w:p>
        </w:tc>
        <w:tc>
          <w:tcPr/>
          <w:p>
            <w:pPr>
              <w:pStyle w:val="Compact"/>
            </w:pPr>
            <w:r>
              <w:rPr>
                <w:b/>
                <w:bCs/>
              </w:rPr>
              <w:t xml:space="preserve">Pro: richer asset representations</w:t>
            </w:r>
          </w:p>
        </w:tc>
        <w:tc>
          <w:tcPr/>
          <w:p>
            <w:pPr>
              <w:pStyle w:val="Compact"/>
            </w:pPr>
            <w:r>
              <w:t xml:space="preserve">NFTs and multi-tokens support unique and mixed assets; metadata standards normalize presentation</w:t>
            </w:r>
          </w:p>
        </w:tc>
        <w:tc>
          <w:tcPr/>
          <w:p>
            <w:pPr>
              <w:pStyle w:val="Compact"/>
            </w:pPr>
            <w:r>
              <w:t xml:space="preserve">ERC-721 NFT metadata and schema; ERC-1155 metadata URI schema</w:t>
            </w:r>
            <w:r>
              <w:t xml:space="preserve"> </w:t>
            </w:r>
            <w:hyperlink r:id="rId28">
              <w:r>
                <w:rPr>
                  <w:rStyle w:val="Hyperlink"/>
                </w:rPr>
                <w:t xml:space="preserve">[44]</w:t>
              </w:r>
            </w:hyperlink>
          </w:p>
        </w:tc>
      </w:tr>
      <w:tr>
        <w:tc>
          <w:tcPr/>
          <w:p>
            <w:pPr>
              <w:pStyle w:val="Compact"/>
            </w:pPr>
            <w:r>
              <w:t xml:space="preserve">Settlement &amp; finance</w:t>
            </w:r>
          </w:p>
        </w:tc>
        <w:tc>
          <w:tcPr/>
          <w:p>
            <w:pPr>
              <w:pStyle w:val="Compact"/>
            </w:pPr>
            <w:r>
              <w:rPr>
                <w:b/>
                <w:bCs/>
              </w:rPr>
              <w:t xml:space="preserve">Pro: potential efficiency levers</w:t>
            </w:r>
          </w:p>
        </w:tc>
        <w:tc>
          <w:tcPr/>
          <w:p>
            <w:pPr>
              <w:pStyle w:val="Compact"/>
            </w:pPr>
            <w:r>
              <w:t xml:space="preserve">Fractionalization, atomic settlement, composability are often cited improvements in tokenised systems</w:t>
            </w:r>
          </w:p>
        </w:tc>
        <w:tc>
          <w:tcPr/>
          <w:p>
            <w:pPr>
              <w:pStyle w:val="Compact"/>
            </w:pPr>
            <w:r>
              <w:t xml:space="preserve">IOSCO notes proponents cite fractionalization, programmability, composability, atomicity; and stresses benefits are uneven/unverified</w:t>
            </w:r>
            <w:r>
              <w:t xml:space="preserve"> </w:t>
            </w:r>
            <w:hyperlink r:id="rId23">
              <w:r>
                <w:rPr>
                  <w:rStyle w:val="Hyperlink"/>
                </w:rPr>
                <w:t xml:space="preserve">[45]</w:t>
              </w:r>
            </w:hyperlink>
          </w:p>
        </w:tc>
      </w:tr>
      <w:tr>
        <w:tc>
          <w:tcPr/>
          <w:p>
            <w:pPr>
              <w:pStyle w:val="Compact"/>
            </w:pPr>
            <w:r>
              <w:t xml:space="preserve">Security</w:t>
            </w:r>
          </w:p>
        </w:tc>
        <w:tc>
          <w:tcPr/>
          <w:p>
            <w:pPr>
              <w:pStyle w:val="Compact"/>
            </w:pPr>
            <w:r>
              <w:rPr>
                <w:b/>
                <w:bCs/>
              </w:rPr>
              <w:t xml:space="preserve">Con: smart contract vulnerabilities</w:t>
            </w:r>
          </w:p>
        </w:tc>
        <w:tc>
          <w:tcPr/>
          <w:p>
            <w:pPr>
              <w:pStyle w:val="Compact"/>
            </w:pPr>
            <w:r>
              <w:t xml:space="preserve">Bugs in contracts can cause loss of funds, frozen assets, or unintended minting</w:t>
            </w:r>
          </w:p>
        </w:tc>
        <w:tc>
          <w:tcPr/>
          <w:p>
            <w:pPr>
              <w:pStyle w:val="Compact"/>
            </w:pPr>
            <w:r>
              <w:t xml:space="preserve">Reentrancy described in SWC-107; Solidity security guidance warns overflows can still cause stuck states</w:t>
            </w:r>
            <w:r>
              <w:t xml:space="preserve"> </w:t>
            </w:r>
            <w:hyperlink r:id="rId24">
              <w:r>
                <w:rPr>
                  <w:rStyle w:val="Hyperlink"/>
                </w:rPr>
                <w:t xml:space="preserve">[46]</w:t>
              </w:r>
            </w:hyperlink>
          </w:p>
        </w:tc>
      </w:tr>
      <w:tr>
        <w:tc>
          <w:tcPr/>
          <w:p>
            <w:pPr>
              <w:pStyle w:val="Compact"/>
            </w:pPr>
            <w:r>
              <w:t xml:space="preserve">Security / UX</w:t>
            </w:r>
          </w:p>
        </w:tc>
        <w:tc>
          <w:tcPr/>
          <w:p>
            <w:pPr>
              <w:pStyle w:val="Compact"/>
            </w:pPr>
            <w:r>
              <w:rPr>
                <w:b/>
                <w:bCs/>
              </w:rPr>
              <w:t xml:space="preserve">Con: allowance and approval pitfalls</w:t>
            </w:r>
          </w:p>
        </w:tc>
        <w:tc>
          <w:tcPr/>
          <w:p>
            <w:pPr>
              <w:pStyle w:val="Compact"/>
            </w:pPr>
            <w:r>
              <w:t xml:space="preserve">Delegated spending can be abused; UI/UX errors can lead to draining tokens</w:t>
            </w:r>
          </w:p>
        </w:tc>
        <w:tc>
          <w:tcPr/>
          <w:p>
            <w:pPr>
              <w:pStyle w:val="Compact"/>
            </w:pPr>
            <w:r>
              <w:t xml:space="preserve">ERC-20 warns clients should set allowance to 0 before changing to mitigate attack vectors</w:t>
            </w:r>
            <w:r>
              <w:t xml:space="preserve"> </w:t>
            </w:r>
            <w:hyperlink r:id="rId22">
              <w:r>
                <w:rPr>
                  <w:rStyle w:val="Hyperlink"/>
                </w:rPr>
                <w:t xml:space="preserve">[24]</w:t>
              </w:r>
            </w:hyperlink>
          </w:p>
        </w:tc>
      </w:tr>
      <w:tr>
        <w:tc>
          <w:tcPr/>
          <w:p>
            <w:pPr>
              <w:pStyle w:val="Compact"/>
            </w:pPr>
            <w:r>
              <w:t xml:space="preserve">Cross-chain</w:t>
            </w:r>
          </w:p>
        </w:tc>
        <w:tc>
          <w:tcPr/>
          <w:p>
            <w:pPr>
              <w:pStyle w:val="Compact"/>
            </w:pPr>
            <w:r>
              <w:rPr>
                <w:b/>
                <w:bCs/>
              </w:rPr>
              <w:t xml:space="preserve">Con: bridge concentration risk</w:t>
            </w:r>
          </w:p>
        </w:tc>
        <w:tc>
          <w:tcPr/>
          <w:p>
            <w:pPr>
              <w:pStyle w:val="Compact"/>
            </w:pPr>
            <w:r>
              <w:t xml:space="preserve">Bridges aggregate assets and trust assumptions; failures are catastrophic</w:t>
            </w:r>
          </w:p>
        </w:tc>
        <w:tc>
          <w:tcPr/>
          <w:p>
            <w:pPr>
              <w:pStyle w:val="Compact"/>
            </w:pPr>
            <w:r>
              <w:t xml:space="preserve">Ronin official postmortem documents validator compromise draining bridge assets; industry reporting highlights bridge hacks as top risk</w:t>
            </w:r>
            <w:r>
              <w:t xml:space="preserve"> </w:t>
            </w:r>
            <w:hyperlink r:id="rId47">
              <w:r>
                <w:rPr>
                  <w:rStyle w:val="Hyperlink"/>
                </w:rPr>
                <w:t xml:space="preserve">[47]</w:t>
              </w:r>
            </w:hyperlink>
          </w:p>
        </w:tc>
      </w:tr>
      <w:tr>
        <w:tc>
          <w:tcPr/>
          <w:p>
            <w:pPr>
              <w:pStyle w:val="Compact"/>
            </w:pPr>
            <w:r>
              <w:t xml:space="preserve">Custody</w:t>
            </w:r>
          </w:p>
        </w:tc>
        <w:tc>
          <w:tcPr/>
          <w:p>
            <w:pPr>
              <w:pStyle w:val="Compact"/>
            </w:pPr>
            <w:r>
              <w:rPr>
                <w:b/>
                <w:bCs/>
              </w:rPr>
              <w:t xml:space="preserve">Con: key compromise / operational failures</w:t>
            </w:r>
          </w:p>
        </w:tc>
        <w:tc>
          <w:tcPr/>
          <w:p>
            <w:pPr>
              <w:pStyle w:val="Compact"/>
            </w:pPr>
            <w:r>
              <w:t xml:space="preserve">Whoever controls keys controls tokens; errors are often irreversible</w:t>
            </w:r>
          </w:p>
        </w:tc>
        <w:tc>
          <w:tcPr/>
          <w:p>
            <w:pPr>
              <w:pStyle w:val="Compact"/>
            </w:pPr>
            <w:r>
              <w:t xml:space="preserve">MiCA defines custody as controlling means of access incl. private keys, reflecting centrality of key control</w:t>
            </w:r>
            <w:r>
              <w:t xml:space="preserve"> </w:t>
            </w:r>
            <w:hyperlink r:id="rId27">
              <w:r>
                <w:rPr>
                  <w:rStyle w:val="Hyperlink"/>
                </w:rPr>
                <w:t xml:space="preserve">[25]</w:t>
              </w:r>
            </w:hyperlink>
          </w:p>
        </w:tc>
      </w:tr>
      <w:tr>
        <w:tc>
          <w:tcPr/>
          <w:p>
            <w:pPr>
              <w:pStyle w:val="Compact"/>
            </w:pPr>
            <w:r>
              <w:t xml:space="preserve">Legal</w:t>
            </w:r>
          </w:p>
        </w:tc>
        <w:tc>
          <w:tcPr/>
          <w:p>
            <w:pPr>
              <w:pStyle w:val="Compact"/>
            </w:pPr>
            <w:r>
              <w:rPr>
                <w:b/>
                <w:bCs/>
              </w:rPr>
              <w:t xml:space="preserve">Con: uncertain classification (security vs non-security)</w:t>
            </w:r>
          </w:p>
        </w:tc>
        <w:tc>
          <w:tcPr/>
          <w:p>
            <w:pPr>
              <w:pStyle w:val="Compact"/>
            </w:pPr>
            <w:r>
              <w:t xml:space="preserve">The same token type may be treated differently depending on facts and jurisdiction</w:t>
            </w:r>
          </w:p>
        </w:tc>
        <w:tc>
          <w:tcPr/>
          <w:p>
            <w:pPr>
              <w:pStyle w:val="Compact"/>
            </w:pPr>
            <w:r>
              <w:t xml:space="preserve">SEC DAO report concludes DAO Tokens were securities under the facts; FINMA treats asset tokens as analogous to securities in economic function</w:t>
            </w:r>
            <w:r>
              <w:t xml:space="preserve"> </w:t>
            </w:r>
            <w:hyperlink r:id="rId53">
              <w:r>
                <w:rPr>
                  <w:rStyle w:val="Hyperlink"/>
                </w:rPr>
                <w:t xml:space="preserve">[48]</w:t>
              </w:r>
            </w:hyperlink>
          </w:p>
        </w:tc>
      </w:tr>
      <w:tr>
        <w:tc>
          <w:tcPr/>
          <w:p>
            <w:pPr>
              <w:pStyle w:val="Compact"/>
            </w:pPr>
            <w:r>
              <w:t xml:space="preserve">Market</w:t>
            </w:r>
          </w:p>
        </w:tc>
        <w:tc>
          <w:tcPr/>
          <w:p>
            <w:pPr>
              <w:pStyle w:val="Compact"/>
            </w:pPr>
            <w:r>
              <w:rPr>
                <w:b/>
                <w:bCs/>
              </w:rPr>
              <w:t xml:space="preserve">Con: volatility + reflexivity</w:t>
            </w:r>
          </w:p>
        </w:tc>
        <w:tc>
          <w:tcPr/>
          <w:p>
            <w:pPr>
              <w:pStyle w:val="Compact"/>
            </w:pPr>
            <w:r>
              <w:t xml:space="preserve">Prices can be driven by liquidity cycles, leverage, and narratives; risk is “fat-tailed”</w:t>
            </w:r>
          </w:p>
        </w:tc>
        <w:tc>
          <w:tcPr/>
          <w:p>
            <w:pPr>
              <w:pStyle w:val="Compact"/>
            </w:pPr>
            <w:r>
              <w:t xml:space="preserve">Research finds crypto returns/volatility far higher than stocks; practitioner guidance notes valuation models have limitations and data constraints</w:t>
            </w:r>
            <w:r>
              <w:t xml:space="preserve"> </w:t>
            </w:r>
            <w:hyperlink r:id="rId58">
              <w:r>
                <w:rPr>
                  <w:rStyle w:val="Hyperlink"/>
                </w:rPr>
                <w:t xml:space="preserve">[49]</w:t>
              </w:r>
            </w:hyperlink>
          </w:p>
        </w:tc>
      </w:tr>
      <w:tr>
        <w:tc>
          <w:tcPr/>
          <w:p>
            <w:pPr>
              <w:pStyle w:val="Compact"/>
            </w:pPr>
            <w:r>
              <w:t xml:space="preserve">Financial stability / institutions</w:t>
            </w:r>
          </w:p>
        </w:tc>
        <w:tc>
          <w:tcPr/>
          <w:p>
            <w:pPr>
              <w:pStyle w:val="Compact"/>
            </w:pPr>
            <w:r>
              <w:rPr>
                <w:b/>
                <w:bCs/>
              </w:rPr>
              <w:t xml:space="preserve">Con: constrained institutional participation</w:t>
            </w:r>
          </w:p>
        </w:tc>
        <w:tc>
          <w:tcPr/>
          <w:p>
            <w:pPr>
              <w:pStyle w:val="Compact"/>
            </w:pPr>
            <w:r>
              <w:t xml:space="preserve">Banks/institutions may face punitive capital treatment or strict compliance constraints</w:t>
            </w:r>
          </w:p>
        </w:tc>
        <w:tc>
          <w:tcPr/>
          <w:p>
            <w:pPr>
              <w:pStyle w:val="Compact"/>
            </w:pPr>
            <w:r>
              <w:t xml:space="preserve">Basel Committee on Banking Supervision</w:t>
            </w:r>
            <w:hyperlink r:id="rId51">
              <w:r>
                <w:rPr>
                  <w:rStyle w:val="Hyperlink"/>
                </w:rPr>
                <w:t xml:space="preserve">[50]</w:t>
              </w:r>
            </w:hyperlink>
            <w:r>
              <w:t xml:space="preserve"> </w:t>
            </w:r>
            <w:r>
              <w:t xml:space="preserve">cryptoasset exposure standard sets prudential treatment and is designed for implementation timelines (e.g., 2025), signaling conservative supervisory stance</w:t>
            </w:r>
            <w:r>
              <w:t xml:space="preserve"> </w:t>
            </w:r>
            <w:hyperlink r:id="rId59">
              <w:r>
                <w:rPr>
                  <w:rStyle w:val="Hyperlink"/>
                </w:rPr>
                <w:t xml:space="preserve">[51]</w:t>
              </w:r>
            </w:hyperlink>
          </w:p>
        </w:tc>
      </w:tr>
    </w:tbl>
    <w:bookmarkEnd w:id="60"/>
    <w:bookmarkStart w:id="62" w:name="X9183838fe05f627c7b6cf20b0797cd48827cf4e"/>
    <w:p>
      <w:pPr>
        <w:pStyle w:val="Heading3"/>
      </w:pPr>
      <w:r>
        <w:t xml:space="preserve">Common attack vectors and implementation failures</w:t>
      </w:r>
    </w:p>
    <w:p>
      <w:pPr>
        <w:pStyle w:val="FirstParagraph"/>
      </w:pPr>
      <w:r>
        <w:t xml:space="preserve">Even without naming a specific token, the most common technical and operational failure modes recur across ecosystems:</w:t>
      </w:r>
    </w:p>
    <w:p>
      <w:pPr>
        <w:pStyle w:val="Compact"/>
        <w:numPr>
          <w:ilvl w:val="0"/>
          <w:numId w:val="1003"/>
        </w:numPr>
      </w:pPr>
      <w:r>
        <w:rPr>
          <w:b/>
          <w:bCs/>
        </w:rPr>
        <w:t xml:space="preserve">Reentrancy and unexpected control flow.</w:t>
      </w:r>
      <w:r>
        <w:t xml:space="preserve"> </w:t>
      </w:r>
      <w:r>
        <w:t xml:space="preserve">External calls can allow attackers to “re-enter” prior to state finalization; the SWC registry describes this pattern and why it is dangerous.</w:t>
      </w:r>
      <w:r>
        <w:t xml:space="preserve"> </w:t>
      </w:r>
      <w:hyperlink r:id="rId24">
        <w:r>
          <w:rPr>
            <w:rStyle w:val="Hyperlink"/>
          </w:rPr>
          <w:t xml:space="preserve">[52]</w:t>
        </w:r>
      </w:hyperlink>
    </w:p>
    <w:p>
      <w:pPr>
        <w:pStyle w:val="Compact"/>
        <w:numPr>
          <w:ilvl w:val="0"/>
          <w:numId w:val="1003"/>
        </w:numPr>
      </w:pPr>
      <w:r>
        <w:rPr>
          <w:b/>
          <w:bCs/>
        </w:rPr>
        <w:t xml:space="preserve">Arithmetic edge cases.</w:t>
      </w:r>
      <w:r>
        <w:t xml:space="preserve"> </w:t>
      </w:r>
      <w:r>
        <w:t xml:space="preserve">Solidity security guidance notes overflows revert in checked mode, but that can still lead to contracts stuck in certain states if not designed defensively.</w:t>
      </w:r>
      <w:r>
        <w:t xml:space="preserve"> </w:t>
      </w:r>
      <w:hyperlink r:id="rId61">
        <w:r>
          <w:rPr>
            <w:rStyle w:val="Hyperlink"/>
          </w:rPr>
          <w:t xml:space="preserve">[53]</w:t>
        </w:r>
      </w:hyperlink>
    </w:p>
    <w:p>
      <w:pPr>
        <w:pStyle w:val="Compact"/>
        <w:numPr>
          <w:ilvl w:val="0"/>
          <w:numId w:val="1003"/>
        </w:numPr>
      </w:pPr>
      <w:r>
        <w:rPr>
          <w:b/>
          <w:bCs/>
        </w:rPr>
        <w:t xml:space="preserve">Allowance misuse / phishing.</w:t>
      </w:r>
      <w:r>
        <w:t xml:space="preserve"> </w:t>
      </w:r>
      <w:r>
        <w:t xml:space="preserve">The ERC-20 delegated-spend model is powerful but creates user-risk, and the spec itself flags a known allowance change attack.</w:t>
      </w:r>
      <w:r>
        <w:t xml:space="preserve"> </w:t>
      </w:r>
      <w:hyperlink r:id="rId22">
        <w:r>
          <w:rPr>
            <w:rStyle w:val="Hyperlink"/>
          </w:rPr>
          <w:t xml:space="preserve">[24]</w:t>
        </w:r>
      </w:hyperlink>
    </w:p>
    <w:p>
      <w:pPr>
        <w:pStyle w:val="Compact"/>
        <w:numPr>
          <w:ilvl w:val="0"/>
          <w:numId w:val="1003"/>
        </w:numPr>
      </w:pPr>
      <w:r>
        <w:rPr>
          <w:b/>
          <w:bCs/>
        </w:rPr>
        <w:t xml:space="preserve">Bridge trust failures.</w:t>
      </w:r>
      <w:r>
        <w:t xml:space="preserve"> </w:t>
      </w:r>
      <w:r>
        <w:t xml:space="preserve">Cross-chain systems often rely on validator sets, relayers, or message verification logic; Ronin’s postmortem emphasizes validator compromise leading to bridge drain, illustrating that bridges concentrate both assets and trust assumptions.</w:t>
      </w:r>
      <w:r>
        <w:t xml:space="preserve"> </w:t>
      </w:r>
      <w:hyperlink r:id="rId47">
        <w:r>
          <w:rPr>
            <w:rStyle w:val="Hyperlink"/>
          </w:rPr>
          <w:t xml:space="preserve">[32]</w:t>
        </w:r>
      </w:hyperlink>
    </w:p>
    <w:p>
      <w:pPr>
        <w:pStyle w:val="Compact"/>
        <w:numPr>
          <w:ilvl w:val="0"/>
          <w:numId w:val="1003"/>
        </w:numPr>
      </w:pPr>
      <w:r>
        <w:rPr>
          <w:b/>
          <w:bCs/>
        </w:rPr>
        <w:t xml:space="preserve">“Token ≠ asset” confusion in tokenised RWAs.</w:t>
      </w:r>
      <w:r>
        <w:t xml:space="preserve"> </w:t>
      </w:r>
      <w:r>
        <w:t xml:space="preserve">Standard setters warn investors may not know whether they hold the underlying or a representation, raising counterparty/legal uncertainty.</w:t>
      </w:r>
      <w:r>
        <w:t xml:space="preserve"> </w:t>
      </w:r>
      <w:hyperlink r:id="rId23">
        <w:r>
          <w:rPr>
            <w:rStyle w:val="Hyperlink"/>
          </w:rPr>
          <w:t xml:space="preserve">[29]</w:t>
        </w:r>
      </w:hyperlink>
    </w:p>
    <w:bookmarkEnd w:id="62"/>
    <w:bookmarkEnd w:id="63"/>
    <w:bookmarkStart w:id="71" w:name="regulatory-and-compliance-landscape"/>
    <w:p>
      <w:pPr>
        <w:pStyle w:val="Heading2"/>
      </w:pPr>
      <w:r>
        <w:t xml:space="preserve">Regulatory and compliance landscape</w:t>
      </w:r>
    </w:p>
    <w:p>
      <w:pPr>
        <w:pStyle w:val="FirstParagraph"/>
      </w:pPr>
      <w:r>
        <w:t xml:space="preserve">Regulation is not an “overlay” to tokenization—it shapes what tokenization</w:t>
      </w:r>
      <w:r>
        <w:t xml:space="preserve"> </w:t>
      </w:r>
      <w:r>
        <w:rPr>
          <w:i/>
          <w:iCs/>
        </w:rPr>
        <w:t xml:space="preserve">means</w:t>
      </w:r>
      <w:r>
        <w:t xml:space="preserve"> </w:t>
      </w:r>
      <w:r>
        <w:t xml:space="preserve">legally, especially when tokens represent claims against issuers or resemble investment contracts.</w:t>
      </w:r>
    </w:p>
    <w:bookmarkStart w:id="66" w:name="global-amlcft-baseline"/>
    <w:p>
      <w:pPr>
        <w:pStyle w:val="Heading3"/>
      </w:pPr>
      <w:r>
        <w:t xml:space="preserve">Global AML/CFT baseline</w:t>
      </w:r>
    </w:p>
    <w:p>
      <w:pPr>
        <w:pStyle w:val="FirstParagraph"/>
      </w:pPr>
      <w:r>
        <w:t xml:space="preserve">Financial Action Task Force</w:t>
      </w:r>
      <w:hyperlink r:id="rId22">
        <w:r>
          <w:rPr>
            <w:rStyle w:val="Hyperlink"/>
          </w:rPr>
          <w:t xml:space="preserve">[54]</w:t>
        </w:r>
      </w:hyperlink>
      <w:r>
        <w:t xml:space="preserve"> </w:t>
      </w:r>
      <w:r>
        <w:t xml:space="preserve">describes virtual assets as digital representations of value that can be digitally traded/transferred/used for payment, and emphasizes AML/CFT risks (cyberattacks, scams, criminal misuse) and the need for effective regulation and VASP controls.</w:t>
      </w:r>
      <w:r>
        <w:t xml:space="preserve"> </w:t>
      </w:r>
      <w:hyperlink r:id="rId64">
        <w:r>
          <w:rPr>
            <w:rStyle w:val="Hyperlink"/>
          </w:rPr>
          <w:t xml:space="preserve">[55]</w:t>
        </w:r>
      </w:hyperlink>
      <w:r>
        <w:t xml:space="preserve"> </w:t>
      </w:r>
      <w:r>
        <w:t xml:space="preserve">FATF’s updated guidance (2021) addresses definitions, stablecoins, and “travel rule” implementation among other issues.</w:t>
      </w:r>
      <w:r>
        <w:t xml:space="preserve"> </w:t>
      </w:r>
      <w:hyperlink r:id="rId45">
        <w:r>
          <w:rPr>
            <w:rStyle w:val="Hyperlink"/>
          </w:rPr>
          <w:t xml:space="preserve">[56]</w:t>
        </w:r>
      </w:hyperlink>
    </w:p>
    <w:p>
      <w:pPr>
        <w:pStyle w:val="BodyText"/>
      </w:pPr>
      <w:r>
        <w:t xml:space="preserve">In the U.S., Financial Crimes Enforcement Network</w:t>
      </w:r>
      <w:hyperlink r:id="rId58">
        <w:r>
          <w:rPr>
            <w:rStyle w:val="Hyperlink"/>
          </w:rPr>
          <w:t xml:space="preserve">[57]</w:t>
        </w:r>
      </w:hyperlink>
      <w:r>
        <w:t xml:space="preserve"> </w:t>
      </w:r>
      <w:r>
        <w:t xml:space="preserve">guidance explains how “administrators” and “exchangers” of convertible virtual currency can be treated as money transmitters under FinCEN regulations.</w:t>
      </w:r>
      <w:r>
        <w:t xml:space="preserve"> </w:t>
      </w:r>
      <w:hyperlink r:id="rId65">
        <w:r>
          <w:rPr>
            <w:rStyle w:val="Hyperlink"/>
          </w:rPr>
          <w:t xml:space="preserve">[58]</w:t>
        </w:r>
      </w:hyperlink>
    </w:p>
    <w:bookmarkEnd w:id="66"/>
    <w:bookmarkStart w:id="68" w:name="X8d3022f8c6c8beae80b74b29f36920b2e525ab5"/>
    <w:p>
      <w:pPr>
        <w:pStyle w:val="Heading3"/>
      </w:pPr>
      <w:r>
        <w:t xml:space="preserve">Securities vs commodities vs “utility” classification</w:t>
      </w:r>
    </w:p>
    <w:p>
      <w:pPr>
        <w:pStyle w:val="FirstParagraph"/>
      </w:pPr>
      <w:r>
        <w:t xml:space="preserve">No single global classification exists. Even within a single jurisdiction, classification can be fact dependent.</w:t>
      </w:r>
    </w:p>
    <w:p>
      <w:pPr>
        <w:pStyle w:val="Compact"/>
        <w:numPr>
          <w:ilvl w:val="0"/>
          <w:numId w:val="1004"/>
        </w:numPr>
      </w:pPr>
      <w:r>
        <w:rPr>
          <w:b/>
          <w:bCs/>
        </w:rPr>
        <w:t xml:space="preserve">U.S. securities law:</w:t>
      </w:r>
      <w:r>
        <w:t xml:space="preserve"> </w:t>
      </w:r>
      <w:r>
        <w:t xml:space="preserve">The SEC’s DAO report is a canonical primary example of applying U.S. federal securities law analysis to token offerings, concluding DAO Tokens were securities under the facts presented.</w:t>
      </w:r>
      <w:r>
        <w:t xml:space="preserve"> </w:t>
      </w:r>
      <w:hyperlink r:id="rId53">
        <w:r>
          <w:rPr>
            <w:rStyle w:val="Hyperlink"/>
          </w:rPr>
          <w:t xml:space="preserve">[40]</w:t>
        </w:r>
      </w:hyperlink>
    </w:p>
    <w:p>
      <w:pPr>
        <w:pStyle w:val="Compact"/>
        <w:numPr>
          <w:ilvl w:val="0"/>
          <w:numId w:val="1004"/>
        </w:numPr>
      </w:pPr>
      <w:r>
        <w:rPr>
          <w:b/>
          <w:bCs/>
        </w:rPr>
        <w:t xml:space="preserve">Switzerland (FINMA):</w:t>
      </w:r>
      <w:r>
        <w:t xml:space="preserve"> </w:t>
      </w:r>
      <w:r>
        <w:t xml:space="preserve">FINMA’s ICO guidance defines categories—payment, utility, asset tokens—and explains that asset tokens (debt/equity claims; share in future earnings/cash flows) are economically analogous to securities.</w:t>
      </w:r>
      <w:r>
        <w:t xml:space="preserve"> </w:t>
      </w:r>
      <w:hyperlink r:id="rId52">
        <w:r>
          <w:rPr>
            <w:rStyle w:val="Hyperlink"/>
          </w:rPr>
          <w:t xml:space="preserve">[38]</w:t>
        </w:r>
      </w:hyperlink>
    </w:p>
    <w:p>
      <w:pPr>
        <w:pStyle w:val="Compact"/>
        <w:numPr>
          <w:ilvl w:val="0"/>
          <w:numId w:val="1004"/>
        </w:numPr>
      </w:pPr>
      <w:r>
        <w:rPr>
          <w:b/>
          <w:bCs/>
        </w:rPr>
        <w:t xml:space="preserve">EU MiCA:</w:t>
      </w:r>
      <w:r>
        <w:t xml:space="preserve"> </w:t>
      </w:r>
      <w:r>
        <w:t xml:space="preserve">MiCA builds a framework around crypto-assets not already regulated as traditional financial instruments. It defines “crypto-asset,” “utility token,” “asset-referenced token,” “e-money token,” and defines “crypto-asset service provider” and custody services (including control of private keys).</w:t>
      </w:r>
      <w:r>
        <w:t xml:space="preserve"> </w:t>
      </w:r>
      <w:hyperlink r:id="rId27">
        <w:r>
          <w:rPr>
            <w:rStyle w:val="Hyperlink"/>
          </w:rPr>
          <w:t xml:space="preserve">[25]</w:t>
        </w:r>
      </w:hyperlink>
      <w:r>
        <w:t xml:space="preserve"> </w:t>
      </w:r>
      <w:r>
        <w:t xml:space="preserve">European Securities and Markets Authority</w:t>
      </w:r>
      <w:hyperlink r:id="rId27">
        <w:r>
          <w:rPr>
            <w:rStyle w:val="Hyperlink"/>
          </w:rPr>
          <w:t xml:space="preserve">[59]</w:t>
        </w:r>
      </w:hyperlink>
      <w:r>
        <w:t xml:space="preserve"> </w:t>
      </w:r>
      <w:r>
        <w:t xml:space="preserve">notes MiCA entered into force in June 2023 and describes implementation measures and registers for white papers and service providers.</w:t>
      </w:r>
      <w:r>
        <w:t xml:space="preserve"> </w:t>
      </w:r>
      <w:hyperlink r:id="rId67">
        <w:r>
          <w:rPr>
            <w:rStyle w:val="Hyperlink"/>
          </w:rPr>
          <w:t xml:space="preserve">[60]</w:t>
        </w:r>
      </w:hyperlink>
    </w:p>
    <w:bookmarkEnd w:id="68"/>
    <w:bookmarkStart w:id="70" w:name="X4740ef708ad3f1ca0927f814198c4de97700f36"/>
    <w:p>
      <w:pPr>
        <w:pStyle w:val="Heading3"/>
      </w:pPr>
      <w:r>
        <w:t xml:space="preserve">“Same risk, same regulation” direction of travel</w:t>
      </w:r>
    </w:p>
    <w:p>
      <w:pPr>
        <w:pStyle w:val="FirstParagraph"/>
      </w:pPr>
      <w:r>
        <w:t xml:space="preserve">Global bodies increasingly converge on the principle that similar activities should face similar regulatory outcomes:</w:t>
      </w:r>
    </w:p>
    <w:p>
      <w:pPr>
        <w:pStyle w:val="Compact"/>
        <w:numPr>
          <w:ilvl w:val="0"/>
          <w:numId w:val="1005"/>
        </w:numPr>
      </w:pPr>
      <w:r>
        <w:t xml:space="preserve">Financial Stability Board</w:t>
      </w:r>
      <w:hyperlink r:id="rId25">
        <w:r>
          <w:rPr>
            <w:rStyle w:val="Hyperlink"/>
          </w:rPr>
          <w:t xml:space="preserve">[61]</w:t>
        </w:r>
      </w:hyperlink>
      <w:r>
        <w:t xml:space="preserve"> </w:t>
      </w:r>
      <w:r>
        <w:t xml:space="preserve">issued high-level recommendations for regulating and overseeing crypto-asset activities and markets to promote consistent approaches while supporting responsible innovation.</w:t>
      </w:r>
      <w:r>
        <w:t xml:space="preserve"> </w:t>
      </w:r>
      <w:hyperlink r:id="rId42">
        <w:r>
          <w:rPr>
            <w:rStyle w:val="Hyperlink"/>
          </w:rPr>
          <w:t xml:space="preserve">[62]</w:t>
        </w:r>
      </w:hyperlink>
    </w:p>
    <w:p>
      <w:pPr>
        <w:pStyle w:val="Compact"/>
        <w:numPr>
          <w:ilvl w:val="0"/>
          <w:numId w:val="1005"/>
        </w:numPr>
      </w:pPr>
      <w:r>
        <w:t xml:space="preserve">IOSCO’s policy recommendations for crypto and digital asset markets aim to help regulators apply IOSCO standards to crypto activities and address market integrity and investor protection.</w:t>
      </w:r>
      <w:r>
        <w:t xml:space="preserve"> </w:t>
      </w:r>
      <w:hyperlink r:id="rId69">
        <w:r>
          <w:rPr>
            <w:rStyle w:val="Hyperlink"/>
          </w:rPr>
          <w:t xml:space="preserve">[63]</w:t>
        </w:r>
      </w:hyperlink>
    </w:p>
    <w:p>
      <w:pPr>
        <w:pStyle w:val="Compact"/>
        <w:numPr>
          <w:ilvl w:val="0"/>
          <w:numId w:val="1005"/>
        </w:numPr>
      </w:pPr>
      <w:r>
        <w:t xml:space="preserve">Basel’s prudential standard on cryptoasset exposures reflects a conservative approach to bank exposure, affecting institutional participation and the cost of capital for crypto-linked activities.</w:t>
      </w:r>
      <w:r>
        <w:t xml:space="preserve"> </w:t>
      </w:r>
      <w:hyperlink r:id="rId59">
        <w:r>
          <w:rPr>
            <w:rStyle w:val="Hyperlink"/>
          </w:rPr>
          <w:t xml:space="preserve">[51]</w:t>
        </w:r>
      </w:hyperlink>
    </w:p>
    <w:p>
      <w:pPr>
        <w:pStyle w:val="FirstParagraph"/>
      </w:pPr>
      <w:r>
        <w:t xml:space="preserve">For tokenization projects, the practical consequence is:</w:t>
      </w:r>
      <w:r>
        <w:t xml:space="preserve"> </w:t>
      </w:r>
      <w:r>
        <w:rPr>
          <w:b/>
          <w:bCs/>
        </w:rPr>
        <w:t xml:space="preserve">the legal meaning of a token’s “rights” must be treated as part of the design</w:t>
      </w:r>
      <w:r>
        <w:t xml:space="preserve">, not as a post-launch compliance step—especially for tokens that market stable value, revenue participation, redemption, or investment-like expectations.</w:t>
      </w:r>
      <w:r>
        <w:t xml:space="preserve"> </w:t>
      </w:r>
      <w:hyperlink r:id="rId27">
        <w:r>
          <w:rPr>
            <w:rStyle w:val="Hyperlink"/>
          </w:rPr>
          <w:t xml:space="preserve">[64]</w:t>
        </w:r>
      </w:hyperlink>
    </w:p>
    <w:bookmarkEnd w:id="70"/>
    <w:bookmarkEnd w:id="71"/>
    <w:bookmarkStart w:id="79" w:name="value-investor-investment-analysis"/>
    <w:p>
      <w:pPr>
        <w:pStyle w:val="Heading2"/>
      </w:pPr>
      <w:r>
        <w:t xml:space="preserve">Value-investor investment analysis</w:t>
      </w:r>
    </w:p>
    <w:p>
      <w:pPr>
        <w:pStyle w:val="FirstParagraph"/>
      </w:pPr>
      <w:r>
        <w:t xml:space="preserve">A value investor typically seeks assets where intrinsic value can be estimated with reasonable confidence, and where price offers a margin of safety. Crypto tokens vary widely, but many exhibit characteristics that make classical intrinsic valuation difficult.</w:t>
      </w:r>
    </w:p>
    <w:bookmarkStart w:id="72" w:name="X2f13386a8b2d2bea87f0764fdb50e7e5a25f123"/>
    <w:p>
      <w:pPr>
        <w:pStyle w:val="Heading3"/>
      </w:pPr>
      <w:r>
        <w:t xml:space="preserve">Would I invest in crypto tokens as a value investor?</w:t>
      </w:r>
    </w:p>
    <w:p>
      <w:pPr>
        <w:pStyle w:val="FirstParagraph"/>
      </w:pPr>
      <w:r>
        <w:t xml:space="preserve">In general,</w:t>
      </w:r>
      <w:r>
        <w:t xml:space="preserve"> </w:t>
      </w:r>
      <w:r>
        <w:rPr>
          <w:b/>
          <w:bCs/>
        </w:rPr>
        <w:t xml:space="preserve">I would not treat most crypto tokens as “value investments”</w:t>
      </w:r>
      <w:r>
        <w:t xml:space="preserve"> </w:t>
      </w:r>
      <w:r>
        <w:t xml:space="preserve">in the traditional sense—because:</w:t>
      </w:r>
      <w:r>
        <w:t xml:space="preserve"> </w:t>
      </w:r>
      <w:r>
        <w:t xml:space="preserve">- Many tokens do not provide</w:t>
      </w:r>
      <w:r>
        <w:t xml:space="preserve"> </w:t>
      </w:r>
      <w:r>
        <w:rPr>
          <w:b/>
          <w:bCs/>
        </w:rPr>
        <w:t xml:space="preserve">contractual claims on cash flows or assets</w:t>
      </w:r>
      <w:r>
        <w:t xml:space="preserve">, and their value is often driven by adoption narratives and liquidity conditions rather than discounted cash flows.</w:t>
      </w:r>
      <w:r>
        <w:t xml:space="preserve"> </w:t>
      </w:r>
      <w:r>
        <w:t xml:space="preserve">- Legal treatment can change the investable universe quickly (e.g., “security token” consequences for issuance/trading/holding).</w:t>
      </w:r>
      <w:r>
        <w:t xml:space="preserve"> </w:t>
      </w:r>
      <w:hyperlink r:id="rId53">
        <w:r>
          <w:rPr>
            <w:rStyle w:val="Hyperlink"/>
          </w:rPr>
          <w:t xml:space="preserve">[65]</w:t>
        </w:r>
      </w:hyperlink>
      <w:r>
        <w:br/>
      </w:r>
      <w:r>
        <w:t xml:space="preserve">- Technical tail risk (contract/bridge/custody failures) is non-trivial and is structurally different from equity/bond operational risk.</w:t>
      </w:r>
      <w:r>
        <w:t xml:space="preserve"> </w:t>
      </w:r>
      <w:hyperlink r:id="rId24">
        <w:r>
          <w:rPr>
            <w:rStyle w:val="Hyperlink"/>
          </w:rPr>
          <w:t xml:space="preserve">[66]</w:t>
        </w:r>
      </w:hyperlink>
      <w:r>
        <w:br/>
      </w:r>
      <w:r>
        <w:t xml:space="preserve">- Volatility is exceptionally high: empirical research and syntheses find crypto returns and volatilities far exceed those of equities (with some evidence Sharpe ratios can appear comparable in certain samples), which forces a risk-budget framing rather than a “compounder” framing.</w:t>
      </w:r>
      <w:r>
        <w:t xml:space="preserve"> </w:t>
      </w:r>
      <w:hyperlink r:id="rId58">
        <w:r>
          <w:rPr>
            <w:rStyle w:val="Hyperlink"/>
          </w:rPr>
          <w:t xml:space="preserve">[67]</w:t>
        </w:r>
      </w:hyperlink>
    </w:p>
    <w:p>
      <w:pPr>
        <w:pStyle w:val="BodyText"/>
      </w:pPr>
      <w:r>
        <w:t xml:space="preserve">That said, a value investor</w:t>
      </w:r>
      <w:r>
        <w:t xml:space="preserve"> </w:t>
      </w:r>
      <w:r>
        <w:rPr>
          <w:i/>
          <w:iCs/>
        </w:rPr>
        <w:t xml:space="preserve">could</w:t>
      </w:r>
      <w:r>
        <w:t xml:space="preserve"> </w:t>
      </w:r>
      <w:r>
        <w:t xml:space="preserve">consider</w:t>
      </w:r>
      <w:r>
        <w:t xml:space="preserve"> </w:t>
      </w:r>
      <w:r>
        <w:rPr>
          <w:b/>
          <w:bCs/>
        </w:rPr>
        <w:t xml:space="preserve">narrow subsets</w:t>
      </w:r>
      <w:r>
        <w:t xml:space="preserve"> </w:t>
      </w:r>
      <w:r>
        <w:t xml:space="preserve">of token exposures if (and only if) the token has:</w:t>
      </w:r>
      <w:r>
        <w:t xml:space="preserve"> </w:t>
      </w:r>
      <w:r>
        <w:t xml:space="preserve">-</w:t>
      </w:r>
      <w:r>
        <w:t xml:space="preserve"> </w:t>
      </w:r>
      <w:r>
        <w:rPr>
          <w:b/>
          <w:bCs/>
        </w:rPr>
        <w:t xml:space="preserve">Clear, enforceable economic rights</w:t>
      </w:r>
      <w:r>
        <w:t xml:space="preserve"> </w:t>
      </w:r>
      <w:r>
        <w:t xml:space="preserve">(e.g., legally binding redemption rights, or strong fee capture that accrues to token holders in a durable way).</w:t>
      </w:r>
      <w:r>
        <w:t xml:space="preserve"> </w:t>
      </w:r>
      <w:r>
        <w:t xml:space="preserve">-</w:t>
      </w:r>
      <w:r>
        <w:t xml:space="preserve"> </w:t>
      </w:r>
      <w:r>
        <w:rPr>
          <w:b/>
          <w:bCs/>
        </w:rPr>
        <w:t xml:space="preserve">Auditable, constrained dilution</w:t>
      </w:r>
      <w:r>
        <w:t xml:space="preserve"> </w:t>
      </w:r>
      <w:r>
        <w:t xml:space="preserve">(transparent supply schedule, credible governance protections).</w:t>
      </w:r>
      <w:r>
        <w:t xml:space="preserve"> </w:t>
      </w:r>
      <w:r>
        <w:t xml:space="preserve">-</w:t>
      </w:r>
      <w:r>
        <w:t xml:space="preserve"> </w:t>
      </w:r>
      <w:r>
        <w:rPr>
          <w:b/>
          <w:bCs/>
        </w:rPr>
        <w:t xml:space="preserve">Robust custody/operational controls</w:t>
      </w:r>
      <w:r>
        <w:t xml:space="preserve"> </w:t>
      </w:r>
      <w:r>
        <w:t xml:space="preserve">and survival under likely regulatory regimes.</w:t>
      </w:r>
      <w:r>
        <w:t xml:space="preserve"> </w:t>
      </w:r>
      <w:hyperlink r:id="rId27">
        <w:r>
          <w:rPr>
            <w:rStyle w:val="Hyperlink"/>
          </w:rPr>
          <w:t xml:space="preserve">[68]</w:t>
        </w:r>
      </w:hyperlink>
    </w:p>
    <w:bookmarkEnd w:id="72"/>
    <w:bookmarkStart w:id="75" w:name="X1c91e656ac0ff996527a9081362eaa2433ae112"/>
    <w:p>
      <w:pPr>
        <w:pStyle w:val="Heading3"/>
      </w:pPr>
      <w:r>
        <w:t xml:space="preserve">Valuation approaches a value investor can use (and their limits)</w:t>
      </w:r>
    </w:p>
    <w:p>
      <w:pPr>
        <w:pStyle w:val="FirstParagraph"/>
      </w:pPr>
      <w:r>
        <w:t xml:space="preserve">The professional literature emphasizes that no single valuation model should be used in isolation and that limited historical data makes robust valuation challenging.</w:t>
      </w:r>
      <w:r>
        <w:t xml:space="preserve"> </w:t>
      </w:r>
      <w:hyperlink r:id="rId73">
        <w:r>
          <w:rPr>
            <w:rStyle w:val="Hyperlink"/>
          </w:rPr>
          <w:t xml:space="preserve">[69]</w:t>
        </w:r>
      </w:hyperlink>
      <w:r>
        <w:t xml:space="preserve"> </w:t>
      </w:r>
      <w:r>
        <w:t xml:space="preserve">A pragmatic framework groups tokens by what “anchors” their value, if anything:</w:t>
      </w:r>
    </w:p>
    <w:p>
      <w:pPr>
        <w:pStyle w:val="BodyText"/>
      </w:pPr>
      <w:r>
        <w:rPr>
          <w:b/>
          <w:bCs/>
        </w:rPr>
        <w:t xml:space="preserve">Tokens with explicit cash flows or fee capture (protocol-like businesses)</w:t>
      </w:r>
      <w:r>
        <w:t xml:space="preserve"> </w:t>
      </w:r>
      <w:r>
        <w:t xml:space="preserve">- Possible approach:</w:t>
      </w:r>
      <w:r>
        <w:t xml:space="preserve"> </w:t>
      </w:r>
      <w:r>
        <w:rPr>
          <w:b/>
          <w:bCs/>
        </w:rPr>
        <w:t xml:space="preserve">discounted cash flow</w:t>
      </w:r>
      <w:r>
        <w:t xml:space="preserve"> </w:t>
      </w:r>
      <w:r>
        <w:t xml:space="preserve">on sustainable fee revenue to token holders, adjusted for dilution, governance risk, competition, and regulatory constraints.</w:t>
      </w:r>
      <w:r>
        <w:t xml:space="preserve"> </w:t>
      </w:r>
      <w:r>
        <w:t xml:space="preserve">- Challenge: token holders often do not have the same enforceable rights as equity holders; governance can change fee distributions.</w:t>
      </w:r>
    </w:p>
    <w:p>
      <w:pPr>
        <w:pStyle w:val="BodyText"/>
      </w:pPr>
      <w:r>
        <w:rPr>
          <w:b/>
          <w:bCs/>
        </w:rPr>
        <w:t xml:space="preserve">Tokens representing claims or redemption rights (stable-value or asset-backed tokens)</w:t>
      </w:r>
      <w:r>
        <w:t xml:space="preserve"> </w:t>
      </w:r>
      <w:r>
        <w:t xml:space="preserve">- Possible approach: treat as</w:t>
      </w:r>
      <w:r>
        <w:t xml:space="preserve"> </w:t>
      </w:r>
      <w:r>
        <w:rPr>
          <w:b/>
          <w:bCs/>
        </w:rPr>
        <w:t xml:space="preserve">credit + operational risk</w:t>
      </w:r>
      <w:r>
        <w:t xml:space="preserve"> </w:t>
      </w:r>
      <w:r>
        <w:t xml:space="preserve">of issuer/reserves rather than growth asset.</w:t>
      </w:r>
      <w:r>
        <w:t xml:space="preserve"> </w:t>
      </w:r>
      <w:r>
        <w:t xml:space="preserve">- Anchor depends on enforceability of redemption and reserve quality; MiCA’s definitions and issuer obligations illustrate how law can formalize parts of this.</w:t>
      </w:r>
      <w:r>
        <w:t xml:space="preserve"> </w:t>
      </w:r>
      <w:hyperlink r:id="rId27">
        <w:r>
          <w:rPr>
            <w:rStyle w:val="Hyperlink"/>
          </w:rPr>
          <w:t xml:space="preserve">[70]</w:t>
        </w:r>
      </w:hyperlink>
      <w:r>
        <w:br/>
      </w:r>
      <w:r>
        <w:t xml:space="preserve">- Also consider FSB stablecoin recommendations emphasizing that “stablecoin” is not a guarantee of stability and that regulatory treatment matters.</w:t>
      </w:r>
      <w:r>
        <w:t xml:space="preserve"> </w:t>
      </w:r>
      <w:hyperlink r:id="rId42">
        <w:r>
          <w:rPr>
            <w:rStyle w:val="Hyperlink"/>
          </w:rPr>
          <w:t xml:space="preserve">[26]</w:t>
        </w:r>
      </w:hyperlink>
    </w:p>
    <w:p>
      <w:pPr>
        <w:pStyle w:val="BodyText"/>
      </w:pPr>
      <w:r>
        <w:rPr>
          <w:b/>
          <w:bCs/>
        </w:rPr>
        <w:t xml:space="preserve">“Monetary commodity” tokens without cash flows</w:t>
      </w:r>
      <w:r>
        <w:t xml:space="preserve"> </w:t>
      </w:r>
      <w:r>
        <w:t xml:space="preserve">- Possible approach: scenario-based valuation of adoption (store-of-value / settlement demand), with wide bands and explicit probability weights.</w:t>
      </w:r>
      <w:r>
        <w:t xml:space="preserve"> </w:t>
      </w:r>
      <w:r>
        <w:t xml:space="preserve">- The “engineered scarcity” mechanism can be evidenced via issuance logic (e.g., Bitcoin halving logic in early reference code).</w:t>
      </w:r>
      <w:r>
        <w:t xml:space="preserve"> </w:t>
      </w:r>
      <w:hyperlink r:id="rId50">
        <w:r>
          <w:rPr>
            <w:rStyle w:val="Hyperlink"/>
          </w:rPr>
          <w:t xml:space="preserve">[34]</w:t>
        </w:r>
      </w:hyperlink>
      <w:r>
        <w:br/>
      </w:r>
      <w:r>
        <w:t xml:space="preserve">- Challenge: intrinsic value remains fundamentally hard to pin down; price is heavily influenced by macro liquidity and reflexivity.</w:t>
      </w:r>
    </w:p>
    <w:p>
      <w:pPr>
        <w:pStyle w:val="BodyText"/>
      </w:pPr>
      <w:r>
        <w:rPr>
          <w:b/>
          <w:bCs/>
        </w:rPr>
        <w:t xml:space="preserve">Relative metrics (network activity vs value)</w:t>
      </w:r>
      <w:r>
        <w:t xml:space="preserve"> </w:t>
      </w:r>
      <w:r>
        <w:t xml:space="preserve">- Practitioner-oriented guidance surveys relative valuation metrics but highlights limitations.</w:t>
      </w:r>
      <w:r>
        <w:t xml:space="preserve"> </w:t>
      </w:r>
      <w:hyperlink r:id="rId25">
        <w:r>
          <w:rPr>
            <w:rStyle w:val="Hyperlink"/>
          </w:rPr>
          <w:t xml:space="preserve">[71]</w:t>
        </w:r>
      </w:hyperlink>
      <w:r>
        <w:br/>
      </w:r>
      <w:r>
        <w:t xml:space="preserve">- NVT-style metrics are studied as valuation indicators in the academic literature, but remain noisy and regime-dependent.</w:t>
      </w:r>
      <w:r>
        <w:t xml:space="preserve"> </w:t>
      </w:r>
      <w:hyperlink r:id="rId74">
        <w:r>
          <w:rPr>
            <w:rStyle w:val="Hyperlink"/>
          </w:rPr>
          <w:t xml:space="preserve">[72]</w:t>
        </w:r>
      </w:hyperlink>
    </w:p>
    <w:bookmarkEnd w:id="75"/>
    <w:bookmarkStart w:id="77" w:name="Xbf1164de9dc647c43450c3ecc049310b7c45fbf"/>
    <w:p>
      <w:pPr>
        <w:pStyle w:val="Heading3"/>
      </w:pPr>
      <w:r>
        <w:t xml:space="preserve">Risk-adjusted return and portfolio allocation guidance</w:t>
      </w:r>
    </w:p>
    <w:p>
      <w:pPr>
        <w:pStyle w:val="FirstParagraph"/>
      </w:pPr>
      <w:r>
        <w:t xml:space="preserve">Because crypto tokens often behave like</w:t>
      </w:r>
      <w:r>
        <w:t xml:space="preserve"> </w:t>
      </w:r>
      <w:r>
        <w:rPr>
          <w:b/>
          <w:bCs/>
        </w:rPr>
        <w:t xml:space="preserve">high-volatility, fat-tailed-risk assets</w:t>
      </w:r>
      <w:r>
        <w:t xml:space="preserve">, portfolio sizing should be driven by</w:t>
      </w:r>
      <w:r>
        <w:t xml:space="preserve"> </w:t>
      </w:r>
      <w:r>
        <w:rPr>
          <w:b/>
          <w:bCs/>
        </w:rPr>
        <w:t xml:space="preserve">risk budgets</w:t>
      </w:r>
      <w:r>
        <w:t xml:space="preserve"> </w:t>
      </w:r>
      <w:r>
        <w:t xml:space="preserve">rather than conviction narratives.</w:t>
      </w:r>
    </w:p>
    <w:p>
      <w:pPr>
        <w:pStyle w:val="BodyText"/>
      </w:pPr>
      <w:r>
        <w:t xml:space="preserve">Reasonable principles (not tied to a personal budget, since none was provided):</w:t>
      </w:r>
      <w:r>
        <w:t xml:space="preserve"> </w:t>
      </w:r>
      <w:r>
        <w:t xml:space="preserve">- Treat token exposure as</w:t>
      </w:r>
      <w:r>
        <w:t xml:space="preserve"> </w:t>
      </w:r>
      <w:r>
        <w:rPr>
          <w:b/>
          <w:bCs/>
        </w:rPr>
        <w:t xml:space="preserve">speculative/satellite</w:t>
      </w:r>
      <w:r>
        <w:t xml:space="preserve">, not core, unless you have a strong legal and economic thesis.</w:t>
      </w:r>
      <w:r>
        <w:t xml:space="preserve"> </w:t>
      </w:r>
      <w:r>
        <w:t xml:space="preserve">- Size based on “max tolerable drawdown” rather than expected return; research suggests volatilities can be an order of magnitude higher than equities in some samples.</w:t>
      </w:r>
      <w:r>
        <w:t xml:space="preserve"> </w:t>
      </w:r>
      <w:hyperlink r:id="rId76">
        <w:r>
          <w:rPr>
            <w:rStyle w:val="Hyperlink"/>
          </w:rPr>
          <w:t xml:space="preserve">[73]</w:t>
        </w:r>
      </w:hyperlink>
      <w:r>
        <w:br/>
      </w:r>
      <w:r>
        <w:t xml:space="preserve">- Assume non-zero probability of</w:t>
      </w:r>
      <w:r>
        <w:t xml:space="preserve"> </w:t>
      </w:r>
      <w:r>
        <w:rPr>
          <w:b/>
          <w:bCs/>
        </w:rPr>
        <w:t xml:space="preserve">permanent impairment</w:t>
      </w:r>
      <w:r>
        <w:t xml:space="preserve"> </w:t>
      </w:r>
      <w:r>
        <w:t xml:space="preserve">from technical events (contract exploits, bridge failures, custody losses) or regulatory restriction.</w:t>
      </w:r>
      <w:r>
        <w:t xml:space="preserve"> </w:t>
      </w:r>
      <w:hyperlink r:id="rId47">
        <w:r>
          <w:rPr>
            <w:rStyle w:val="Hyperlink"/>
          </w:rPr>
          <w:t xml:space="preserve">[74]</w:t>
        </w:r>
      </w:hyperlink>
      <w:r>
        <w:br/>
      </w:r>
      <w:r>
        <w:t xml:space="preserve">- For institutions, recognize that prudential and compliance constraints can restrict participation (Basel cryptoasset exposure standards).</w:t>
      </w:r>
      <w:r>
        <w:t xml:space="preserve"> </w:t>
      </w:r>
      <w:hyperlink r:id="rId59">
        <w:r>
          <w:rPr>
            <w:rStyle w:val="Hyperlink"/>
          </w:rPr>
          <w:t xml:space="preserve">[51]</w:t>
        </w:r>
      </w:hyperlink>
    </w:p>
    <w:bookmarkEnd w:id="77"/>
    <w:bookmarkStart w:id="78" w:name="X0dfd3233928580dbb0c95de8e2afc0a74d546f4"/>
    <w:p>
      <w:pPr>
        <w:pStyle w:val="Heading3"/>
      </w:pPr>
      <w:r>
        <w:t xml:space="preserve">Decision criteria and due diligence checklist</w:t>
      </w:r>
    </w:p>
    <w:p>
      <w:pPr>
        <w:pStyle w:val="FirstParagraph"/>
      </w:pPr>
      <w:r>
        <w:t xml:space="preserve">A compact checklist aligned with tokenization realities: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Due diligence area</w:t>
            </w:r>
          </w:p>
        </w:tc>
        <w:tc>
          <w:tcPr/>
          <w:p>
            <w:pPr>
              <w:pStyle w:val="Compact"/>
            </w:pPr>
            <w:r>
              <w:t xml:space="preserve">What to verify</w:t>
            </w:r>
          </w:p>
        </w:tc>
        <w:tc>
          <w:tcPr/>
          <w:p>
            <w:pPr>
              <w:pStyle w:val="Compact"/>
            </w:pPr>
            <w:r>
              <w:t xml:space="preserve">Why it matters</w:t>
            </w:r>
          </w:p>
        </w:tc>
      </w:tr>
      <w:tr>
        <w:tc>
          <w:tcPr/>
          <w:p>
            <w:pPr>
              <w:pStyle w:val="Compact"/>
            </w:pPr>
            <w:r>
              <w:t xml:space="preserve">Token standard + semantics</w:t>
            </w:r>
          </w:p>
        </w:tc>
        <w:tc>
          <w:tcPr/>
          <w:p>
            <w:pPr>
              <w:pStyle w:val="Compact"/>
            </w:pPr>
            <w:r>
              <w:t xml:space="preserve">Which standard is used (ERC-20/721/1155/etc.) and any deviations</w:t>
            </w:r>
          </w:p>
        </w:tc>
        <w:tc>
          <w:tcPr/>
          <w:p>
            <w:pPr>
              <w:pStyle w:val="Compact"/>
            </w:pPr>
            <w:r>
              <w:t xml:space="preserve">Nonstandard behavior breaks integrations and can create hidden risk</w:t>
            </w:r>
            <w:r>
              <w:t xml:space="preserve"> </w:t>
            </w:r>
            <w:hyperlink r:id="rId22">
              <w:r>
                <w:rPr>
                  <w:rStyle w:val="Hyperlink"/>
                </w:rPr>
                <w:t xml:space="preserve">[75]</w:t>
              </w:r>
            </w:hyperlink>
          </w:p>
        </w:tc>
      </w:tr>
      <w:tr>
        <w:tc>
          <w:tcPr/>
          <w:p>
            <w:pPr>
              <w:pStyle w:val="Compact"/>
            </w:pPr>
            <w:r>
              <w:t xml:space="preserve">Rights and claims</w:t>
            </w:r>
          </w:p>
        </w:tc>
        <w:tc>
          <w:tcPr/>
          <w:p>
            <w:pPr>
              <w:pStyle w:val="Compact"/>
            </w:pPr>
            <w:r>
              <w:t xml:space="preserve">What legal/economic rights the token confers (access, governance, redemption, revenue share)</w:t>
            </w:r>
          </w:p>
        </w:tc>
        <w:tc>
          <w:tcPr/>
          <w:p>
            <w:pPr>
              <w:pStyle w:val="Compact"/>
            </w:pPr>
            <w:r>
              <w:t xml:space="preserve">Utility vs asset/security classification and intrinsic value hinge on rights</w:t>
            </w:r>
            <w:r>
              <w:t xml:space="preserve"> </w:t>
            </w:r>
            <w:hyperlink r:id="rId27">
              <w:r>
                <w:rPr>
                  <w:rStyle w:val="Hyperlink"/>
                </w:rPr>
                <w:t xml:space="preserve">[64]</w:t>
              </w:r>
            </w:hyperlink>
          </w:p>
        </w:tc>
      </w:tr>
      <w:tr>
        <w:tc>
          <w:tcPr/>
          <w:p>
            <w:pPr>
              <w:pStyle w:val="Compact"/>
            </w:pPr>
            <w:r>
              <w:t xml:space="preserve">Supply and dilution controls</w:t>
            </w:r>
          </w:p>
        </w:tc>
        <w:tc>
          <w:tcPr/>
          <w:p>
            <w:pPr>
              <w:pStyle w:val="Compact"/>
            </w:pPr>
            <w:r>
              <w:t xml:space="preserve">Mint authority, caps, issuance schedule, burn mechanics</w:t>
            </w:r>
          </w:p>
        </w:tc>
        <w:tc>
          <w:tcPr/>
          <w:p>
            <w:pPr>
              <w:pStyle w:val="Compact"/>
            </w:pPr>
            <w:r>
              <w:t xml:space="preserve">Dilution is a primary driver of long-run per-token value</w:t>
            </w:r>
            <w:r>
              <w:t xml:space="preserve"> </w:t>
            </w:r>
            <w:hyperlink r:id="rId29">
              <w:r>
                <w:rPr>
                  <w:rStyle w:val="Hyperlink"/>
                </w:rPr>
                <w:t xml:space="preserve">[76]</w:t>
              </w:r>
            </w:hyperlink>
          </w:p>
        </w:tc>
      </w:tr>
      <w:tr>
        <w:tc>
          <w:tcPr/>
          <w:p>
            <w:pPr>
              <w:pStyle w:val="Compact"/>
            </w:pPr>
            <w:r>
              <w:t xml:space="preserve">Admin keys and upgradeability</w:t>
            </w:r>
          </w:p>
        </w:tc>
        <w:tc>
          <w:tcPr/>
          <w:p>
            <w:pPr>
              <w:pStyle w:val="Compact"/>
            </w:pPr>
            <w:r>
              <w:t xml:space="preserve">Are there upgradeable proxies or privileged roles? Is there a kill switch?</w:t>
            </w:r>
          </w:p>
        </w:tc>
        <w:tc>
          <w:tcPr/>
          <w:p>
            <w:pPr>
              <w:pStyle w:val="Compact"/>
            </w:pPr>
            <w:r>
              <w:t xml:space="preserve">Upgradeability can fix bugs but introduces governance/key compromise risk</w:t>
            </w:r>
            <w:r>
              <w:t xml:space="preserve"> </w:t>
            </w:r>
            <w:hyperlink r:id="rId55">
              <w:r>
                <w:rPr>
                  <w:rStyle w:val="Hyperlink"/>
                </w:rPr>
                <w:t xml:space="preserve">[41]</w:t>
              </w:r>
            </w:hyperlink>
          </w:p>
        </w:tc>
      </w:tr>
      <w:tr>
        <w:tc>
          <w:tcPr/>
          <w:p>
            <w:pPr>
              <w:pStyle w:val="Compact"/>
            </w:pPr>
            <w:r>
              <w:t xml:space="preserve">Security posture</w:t>
            </w:r>
          </w:p>
        </w:tc>
        <w:tc>
          <w:tcPr/>
          <w:p>
            <w:pPr>
              <w:pStyle w:val="Compact"/>
            </w:pPr>
            <w:r>
              <w:t xml:space="preserve">Audits, formal verification where applicable, test coverage; known weakness classes</w:t>
            </w:r>
          </w:p>
        </w:tc>
        <w:tc>
          <w:tcPr/>
          <w:p>
            <w:pPr>
              <w:pStyle w:val="Compact"/>
            </w:pPr>
            <w:r>
              <w:t xml:space="preserve">Smart contract weaknesses like reentrancy remain material</w:t>
            </w:r>
            <w:r>
              <w:t xml:space="preserve"> </w:t>
            </w:r>
            <w:hyperlink r:id="rId24">
              <w:r>
                <w:rPr>
                  <w:rStyle w:val="Hyperlink"/>
                </w:rPr>
                <w:t xml:space="preserve">[46]</w:t>
              </w:r>
            </w:hyperlink>
          </w:p>
        </w:tc>
      </w:tr>
      <w:tr>
        <w:tc>
          <w:tcPr/>
          <w:p>
            <w:pPr>
              <w:pStyle w:val="Compact"/>
            </w:pPr>
            <w:r>
              <w:t xml:space="preserve">Approval and signing UX</w:t>
            </w:r>
          </w:p>
        </w:tc>
        <w:tc>
          <w:tcPr/>
          <w:p>
            <w:pPr>
              <w:pStyle w:val="Compact"/>
            </w:pPr>
            <w:r>
              <w:t xml:space="preserve">How approvals are obtained; whether permit (ERC-2612) is used; protection against allowance pitfalls</w:t>
            </w:r>
          </w:p>
        </w:tc>
        <w:tc>
          <w:tcPr/>
          <w:p>
            <w:pPr>
              <w:pStyle w:val="Compact"/>
            </w:pPr>
            <w:r>
              <w:t xml:space="preserve">ERC-20 allowance hazards are documented in the spec; UX failures cause losses</w:t>
            </w:r>
            <w:r>
              <w:t xml:space="preserve"> </w:t>
            </w:r>
            <w:hyperlink r:id="rId22">
              <w:r>
                <w:rPr>
                  <w:rStyle w:val="Hyperlink"/>
                </w:rPr>
                <w:t xml:space="preserve">[77]</w:t>
              </w:r>
            </w:hyperlink>
          </w:p>
        </w:tc>
      </w:tr>
      <w:tr>
        <w:tc>
          <w:tcPr/>
          <w:p>
            <w:pPr>
              <w:pStyle w:val="Compact"/>
            </w:pPr>
            <w:r>
              <w:t xml:space="preserve">Custody model</w:t>
            </w:r>
          </w:p>
        </w:tc>
        <w:tc>
          <w:tcPr/>
          <w:p>
            <w:pPr>
              <w:pStyle w:val="Compact"/>
            </w:pPr>
            <w:r>
              <w:t xml:space="preserve">Who controls keys (self, custodian, smart wallet), recovery model, operational controls</w:t>
            </w:r>
          </w:p>
        </w:tc>
        <w:tc>
          <w:tcPr/>
          <w:p>
            <w:pPr>
              <w:pStyle w:val="Compact"/>
            </w:pPr>
            <w:r>
              <w:t xml:space="preserve">Key control is asset control; custody is explicitly defined around key access in MiCA</w:t>
            </w:r>
            <w:r>
              <w:t xml:space="preserve"> </w:t>
            </w:r>
            <w:hyperlink r:id="rId27">
              <w:r>
                <w:rPr>
                  <w:rStyle w:val="Hyperlink"/>
                </w:rPr>
                <w:t xml:space="preserve">[78]</w:t>
              </w:r>
            </w:hyperlink>
          </w:p>
        </w:tc>
      </w:tr>
      <w:tr>
        <w:tc>
          <w:tcPr/>
          <w:p>
            <w:pPr>
              <w:pStyle w:val="Compact"/>
            </w:pPr>
            <w:r>
              <w:t xml:space="preserve">Interoperability/bridge exposure</w:t>
            </w:r>
          </w:p>
        </w:tc>
        <w:tc>
          <w:tcPr/>
          <w:p>
            <w:pPr>
              <w:pStyle w:val="Compact"/>
            </w:pPr>
            <w:r>
              <w:t xml:space="preserve">Are assets bridged? What bridge trust model? Historical incident response?</w:t>
            </w:r>
          </w:p>
        </w:tc>
        <w:tc>
          <w:tcPr/>
          <w:p>
            <w:pPr>
              <w:pStyle w:val="Compact"/>
            </w:pPr>
            <w:r>
              <w:t xml:space="preserve">Bridges concentrate risk; major exploits are documented by postmortems</w:t>
            </w:r>
            <w:r>
              <w:t xml:space="preserve"> </w:t>
            </w:r>
            <w:hyperlink r:id="rId47">
              <w:r>
                <w:rPr>
                  <w:rStyle w:val="Hyperlink"/>
                </w:rPr>
                <w:t xml:space="preserve">[47]</w:t>
              </w:r>
            </w:hyperlink>
          </w:p>
        </w:tc>
      </w:tr>
      <w:tr>
        <w:tc>
          <w:tcPr/>
          <w:p>
            <w:pPr>
              <w:pStyle w:val="Compact"/>
            </w:pPr>
            <w:r>
              <w:t xml:space="preserve">Regulatory perimeter</w:t>
            </w:r>
          </w:p>
        </w:tc>
        <w:tc>
          <w:tcPr/>
          <w:p>
            <w:pPr>
              <w:pStyle w:val="Compact"/>
            </w:pPr>
            <w:r>
              <w:t xml:space="preserve">Which regimes plausibly apply (MiCA category, securities risk, AML/VASP obligations)</w:t>
            </w:r>
          </w:p>
        </w:tc>
        <w:tc>
          <w:tcPr/>
          <w:p>
            <w:pPr>
              <w:pStyle w:val="Compact"/>
            </w:pPr>
            <w:r>
              <w:t xml:space="preserve">Regulatory shifts can impair liquidity, access, or legality of offerings</w:t>
            </w:r>
            <w:r>
              <w:t xml:space="preserve"> </w:t>
            </w:r>
            <w:hyperlink r:id="rId27">
              <w:r>
                <w:rPr>
                  <w:rStyle w:val="Hyperlink"/>
                </w:rPr>
                <w:t xml:space="preserve">[79]</w:t>
              </w:r>
            </w:hyperlink>
          </w:p>
        </w:tc>
      </w:tr>
      <w:tr>
        <w:tc>
          <w:tcPr/>
          <w:p>
            <w:pPr>
              <w:pStyle w:val="Compact"/>
            </w:pPr>
            <w:r>
              <w:t xml:space="preserve">Valuation discipline</w:t>
            </w:r>
          </w:p>
        </w:tc>
        <w:tc>
          <w:tcPr/>
          <w:p>
            <w:pPr>
              <w:pStyle w:val="Compact"/>
            </w:pPr>
            <w:r>
              <w:t xml:space="preserve">Which valuation anchor applies (cash flows, redemption, adoption) and what would falsify the thesis</w:t>
            </w:r>
          </w:p>
        </w:tc>
        <w:tc>
          <w:tcPr/>
          <w:p>
            <w:pPr>
              <w:pStyle w:val="Compact"/>
            </w:pPr>
            <w:r>
              <w:t xml:space="preserve">Professional guidance stresses model limits; avoid single-metric decisions</w:t>
            </w:r>
            <w:r>
              <w:t xml:space="preserve"> </w:t>
            </w:r>
            <w:hyperlink r:id="rId25">
              <w:r>
                <w:rPr>
                  <w:rStyle w:val="Hyperlink"/>
                </w:rPr>
                <w:t xml:space="preserve">[80]</w:t>
              </w:r>
            </w:hyperlink>
          </w:p>
        </w:tc>
      </w:tr>
    </w:tbl>
    <w:p>
      <w:pPr>
        <w:pStyle w:val="BodyText"/>
      </w:pPr>
      <w:r>
        <w:rPr>
          <w:b/>
          <w:bCs/>
        </w:rPr>
        <w:t xml:space="preserve">Bottom line (value-investor framing):</w:t>
      </w:r>
      <w:r>
        <w:t xml:space="preserve"> </w:t>
      </w:r>
      <w:r>
        <w:t xml:space="preserve">I would generally avoid “most” crypto tokens as value investments unless the token has defensible, enforceable rights and a valuation anchor that is not purely reflexive. Where I did invest, I would size it as a risk-budgeted satellite allocation and demand unusually strong evidence on dilution controls, security posture, custody survivability, and regulatory fit.</w:t>
      </w:r>
      <w:r>
        <w:t xml:space="preserve"> </w:t>
      </w:r>
      <w:hyperlink r:id="rId25">
        <w:r>
          <w:rPr>
            <w:rStyle w:val="Hyperlink"/>
          </w:rPr>
          <w:t xml:space="preserve">[81]</w:t>
        </w:r>
      </w:hyperlink>
    </w:p>
    <w:bookmarkEnd w:id="78"/>
    <w:bookmarkEnd w:id="79"/>
    <w:bookmarkEnd w:id="80"/>
    <w:bookmarkEnd w:id="81"/>
    <w:p>
      <w:r>
        <w:pict>
          <v:rect style="width:0;height:1.5pt" o:hralign="center" o:hrstd="t" o:hr="t"/>
        </w:pict>
      </w:r>
    </w:p>
    <w:bookmarkStart w:id="82" w:name="citations"/>
    <w:p>
      <w:pPr>
        <w:pStyle w:val="FirstParagraph"/>
      </w:pPr>
      <w:hyperlink r:id="rId21">
        <w:r>
          <w:rPr>
            <w:rStyle w:val="Hyperlink"/>
          </w:rPr>
          <w:t xml:space="preserve">[1]</w:t>
        </w:r>
      </w:hyperlink>
      <w:r>
        <w:t xml:space="preserve"> </w:t>
      </w:r>
      <w:r>
        <w:t xml:space="preserve">https://www.bis.org/cpmi/publ/d225.pdf</w:t>
      </w:r>
    </w:p>
    <w:p>
      <w:pPr>
        <w:pStyle w:val="BodyText"/>
      </w:pPr>
      <w:hyperlink r:id="rId21">
        <w:r>
          <w:rPr>
            <w:rStyle w:val="Hyperlink"/>
          </w:rPr>
          <w:t xml:space="preserve">https://www.bis.org/cpmi/publ/d225.pdf</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[9]</w:t>
        </w:r>
      </w:hyperlink>
      <w:r>
        <w:t xml:space="preserve"> </w:t>
      </w:r>
      <w:hyperlink r:id="rId22">
        <w:r>
          <w:rPr>
            <w:rStyle w:val="Hyperlink"/>
          </w:rPr>
          <w:t xml:space="preserve">[23]</w:t>
        </w:r>
      </w:hyperlink>
      <w:r>
        <w:t xml:space="preserve"> </w:t>
      </w:r>
      <w:hyperlink r:id="rId22">
        <w:r>
          <w:rPr>
            <w:rStyle w:val="Hyperlink"/>
          </w:rPr>
          <w:t xml:space="preserve">[24]</w:t>
        </w:r>
      </w:hyperlink>
      <w:r>
        <w:t xml:space="preserve"> </w:t>
      </w:r>
      <w:hyperlink r:id="rId22">
        <w:r>
          <w:rPr>
            <w:rStyle w:val="Hyperlink"/>
          </w:rPr>
          <w:t xml:space="preserve">[42]</w:t>
        </w:r>
      </w:hyperlink>
      <w:r>
        <w:t xml:space="preserve"> </w:t>
      </w:r>
      <w:hyperlink r:id="rId22">
        <w:r>
          <w:rPr>
            <w:rStyle w:val="Hyperlink"/>
          </w:rPr>
          <w:t xml:space="preserve">[54]</w:t>
        </w:r>
      </w:hyperlink>
      <w:r>
        <w:t xml:space="preserve"> </w:t>
      </w:r>
      <w:hyperlink r:id="rId22">
        <w:r>
          <w:rPr>
            <w:rStyle w:val="Hyperlink"/>
          </w:rPr>
          <w:t xml:space="preserve">[75]</w:t>
        </w:r>
      </w:hyperlink>
      <w:r>
        <w:t xml:space="preserve"> </w:t>
      </w:r>
      <w:hyperlink r:id="rId22">
        <w:r>
          <w:rPr>
            <w:rStyle w:val="Hyperlink"/>
          </w:rPr>
          <w:t xml:space="preserve">[77]</w:t>
        </w:r>
      </w:hyperlink>
      <w:r>
        <w:t xml:space="preserve"> </w:t>
      </w:r>
      <w:r>
        <w:t xml:space="preserve">https://eips.ethereum.org/EIPS/eip-20</w:t>
      </w:r>
    </w:p>
    <w:p>
      <w:pPr>
        <w:pStyle w:val="BodyText"/>
      </w:pPr>
      <w:hyperlink r:id="rId22">
        <w:r>
          <w:rPr>
            <w:rStyle w:val="Hyperlink"/>
          </w:rPr>
          <w:t xml:space="preserve">https://eips.ethereum.org/EIPS/eip-20</w:t>
        </w:r>
      </w:hyperlink>
    </w:p>
    <w:p>
      <w:pPr>
        <w:pStyle w:val="BodyText"/>
      </w:pPr>
      <w:hyperlink r:id="rId23">
        <w:r>
          <w:rPr>
            <w:rStyle w:val="Hyperlink"/>
          </w:rPr>
          <w:t xml:space="preserve">[4]</w:t>
        </w:r>
      </w:hyperlink>
      <w:r>
        <w:t xml:space="preserve"> </w:t>
      </w:r>
      <w:hyperlink r:id="rId23">
        <w:r>
          <w:rPr>
            <w:rStyle w:val="Hyperlink"/>
          </w:rPr>
          <w:t xml:space="preserve">[11]</w:t>
        </w:r>
      </w:hyperlink>
      <w:r>
        <w:t xml:space="preserve"> </w:t>
      </w:r>
      <w:hyperlink r:id="rId23">
        <w:r>
          <w:rPr>
            <w:rStyle w:val="Hyperlink"/>
          </w:rPr>
          <w:t xml:space="preserve">[12]</w:t>
        </w:r>
      </w:hyperlink>
      <w:r>
        <w:t xml:space="preserve"> </w:t>
      </w:r>
      <w:hyperlink r:id="rId23">
        <w:r>
          <w:rPr>
            <w:rStyle w:val="Hyperlink"/>
          </w:rPr>
          <w:t xml:space="preserve">[29]</w:t>
        </w:r>
      </w:hyperlink>
      <w:r>
        <w:t xml:space="preserve"> </w:t>
      </w:r>
      <w:hyperlink r:id="rId23">
        <w:r>
          <w:rPr>
            <w:rStyle w:val="Hyperlink"/>
          </w:rPr>
          <w:t xml:space="preserve">[45]</w:t>
        </w:r>
      </w:hyperlink>
      <w:r>
        <w:t xml:space="preserve"> </w:t>
      </w:r>
      <w:r>
        <w:t xml:space="preserve">https://www.iosco.org/library/pubdocs/pdf/IOSCOPD809.pdf</w:t>
      </w:r>
    </w:p>
    <w:p>
      <w:pPr>
        <w:pStyle w:val="BodyText"/>
      </w:pPr>
      <w:hyperlink r:id="rId23">
        <w:r>
          <w:rPr>
            <w:rStyle w:val="Hyperlink"/>
          </w:rPr>
          <w:t xml:space="preserve">https://www.iosco.org/library/pubdocs/pdf/IOSCOPD809.pdf</w:t>
        </w:r>
      </w:hyperlink>
    </w:p>
    <w:p>
      <w:pPr>
        <w:pStyle w:val="BodyText"/>
      </w:pPr>
      <w:hyperlink r:id="rId24">
        <w:r>
          <w:rPr>
            <w:rStyle w:val="Hyperlink"/>
          </w:rPr>
          <w:t xml:space="preserve">[5]</w:t>
        </w:r>
      </w:hyperlink>
      <w:r>
        <w:t xml:space="preserve"> </w:t>
      </w:r>
      <w:hyperlink r:id="rId24">
        <w:r>
          <w:rPr>
            <w:rStyle w:val="Hyperlink"/>
          </w:rPr>
          <w:t xml:space="preserve">[46]</w:t>
        </w:r>
      </w:hyperlink>
      <w:r>
        <w:t xml:space="preserve"> </w:t>
      </w:r>
      <w:hyperlink r:id="rId24">
        <w:r>
          <w:rPr>
            <w:rStyle w:val="Hyperlink"/>
          </w:rPr>
          <w:t xml:space="preserve">[52]</w:t>
        </w:r>
      </w:hyperlink>
      <w:r>
        <w:t xml:space="preserve"> </w:t>
      </w:r>
      <w:hyperlink r:id="rId24">
        <w:r>
          <w:rPr>
            <w:rStyle w:val="Hyperlink"/>
          </w:rPr>
          <w:t xml:space="preserve">[66]</w:t>
        </w:r>
      </w:hyperlink>
      <w:r>
        <w:t xml:space="preserve"> </w:t>
      </w:r>
      <w:r>
        <w:t xml:space="preserve">https://swcregistry.io/docs/SWC-107/</w:t>
      </w:r>
    </w:p>
    <w:p>
      <w:pPr>
        <w:pStyle w:val="BodyText"/>
      </w:pPr>
      <w:hyperlink r:id="rId24">
        <w:r>
          <w:rPr>
            <w:rStyle w:val="Hyperlink"/>
          </w:rPr>
          <w:t xml:space="preserve">https://swcregistry.io/docs/SWC-107/</w:t>
        </w:r>
      </w:hyperlink>
    </w:p>
    <w:p>
      <w:pPr>
        <w:pStyle w:val="BodyText"/>
      </w:pPr>
      <w:hyperlink r:id="rId25">
        <w:r>
          <w:rPr>
            <w:rStyle w:val="Hyperlink"/>
          </w:rPr>
          <w:t xml:space="preserve">[6]</w:t>
        </w:r>
      </w:hyperlink>
      <w:r>
        <w:t xml:space="preserve"> </w:t>
      </w:r>
      <w:hyperlink r:id="rId25">
        <w:r>
          <w:rPr>
            <w:rStyle w:val="Hyperlink"/>
          </w:rPr>
          <w:t xml:space="preserve">[61]</w:t>
        </w:r>
      </w:hyperlink>
      <w:r>
        <w:t xml:space="preserve"> </w:t>
      </w:r>
      <w:hyperlink r:id="rId25">
        <w:r>
          <w:rPr>
            <w:rStyle w:val="Hyperlink"/>
          </w:rPr>
          <w:t xml:space="preserve">[71]</w:t>
        </w:r>
      </w:hyperlink>
      <w:r>
        <w:t xml:space="preserve"> </w:t>
      </w:r>
      <w:hyperlink r:id="rId25">
        <w:r>
          <w:rPr>
            <w:rStyle w:val="Hyperlink"/>
          </w:rPr>
          <w:t xml:space="preserve">[80]</w:t>
        </w:r>
      </w:hyperlink>
      <w:r>
        <w:t xml:space="preserve"> </w:t>
      </w:r>
      <w:hyperlink r:id="rId25">
        <w:r>
          <w:rPr>
            <w:rStyle w:val="Hyperlink"/>
          </w:rPr>
          <w:t xml:space="preserve">[81]</w:t>
        </w:r>
      </w:hyperlink>
      <w:r>
        <w:t xml:space="preserve"> </w:t>
      </w:r>
      <w:r>
        <w:t xml:space="preserve">https://rpc.cfainstitute.org/sites/default/files/-/media/documents/article/industry-research/valuation-of--cryptoassets.pdf</w:t>
      </w:r>
    </w:p>
    <w:p>
      <w:pPr>
        <w:pStyle w:val="BodyText"/>
      </w:pPr>
      <w:hyperlink r:id="rId25">
        <w:r>
          <w:rPr>
            <w:rStyle w:val="Hyperlink"/>
          </w:rPr>
          <w:t xml:space="preserve">https://rpc.cfainstitute.org/sites/default/files/-/media/documents/article/industry-research/valuation-of--cryptoassets.pdf</w:t>
        </w:r>
      </w:hyperlink>
    </w:p>
    <w:p>
      <w:pPr>
        <w:pStyle w:val="BodyText"/>
      </w:pPr>
      <w:hyperlink r:id="rId27">
        <w:r>
          <w:rPr>
            <w:rStyle w:val="Hyperlink"/>
          </w:rPr>
          <w:t xml:space="preserve">[7]</w:t>
        </w:r>
      </w:hyperlink>
      <w:r>
        <w:t xml:space="preserve"> </w:t>
      </w:r>
      <w:hyperlink r:id="rId27">
        <w:r>
          <w:rPr>
            <w:rStyle w:val="Hyperlink"/>
          </w:rPr>
          <w:t xml:space="preserve">[25]</w:t>
        </w:r>
      </w:hyperlink>
      <w:r>
        <w:t xml:space="preserve"> </w:t>
      </w:r>
      <w:hyperlink r:id="rId27">
        <w:r>
          <w:rPr>
            <w:rStyle w:val="Hyperlink"/>
          </w:rPr>
          <w:t xml:space="preserve">[37]</w:t>
        </w:r>
      </w:hyperlink>
      <w:r>
        <w:t xml:space="preserve"> </w:t>
      </w:r>
      <w:hyperlink r:id="rId27">
        <w:r>
          <w:rPr>
            <w:rStyle w:val="Hyperlink"/>
          </w:rPr>
          <w:t xml:space="preserve">[59]</w:t>
        </w:r>
      </w:hyperlink>
      <w:r>
        <w:t xml:space="preserve"> </w:t>
      </w:r>
      <w:hyperlink r:id="rId27">
        <w:r>
          <w:rPr>
            <w:rStyle w:val="Hyperlink"/>
          </w:rPr>
          <w:t xml:space="preserve">[64]</w:t>
        </w:r>
      </w:hyperlink>
      <w:r>
        <w:t xml:space="preserve"> </w:t>
      </w:r>
      <w:hyperlink r:id="rId27">
        <w:r>
          <w:rPr>
            <w:rStyle w:val="Hyperlink"/>
          </w:rPr>
          <w:t xml:space="preserve">[68]</w:t>
        </w:r>
      </w:hyperlink>
      <w:r>
        <w:t xml:space="preserve"> </w:t>
      </w:r>
      <w:hyperlink r:id="rId27">
        <w:r>
          <w:rPr>
            <w:rStyle w:val="Hyperlink"/>
          </w:rPr>
          <w:t xml:space="preserve">[70]</w:t>
        </w:r>
      </w:hyperlink>
      <w:r>
        <w:t xml:space="preserve"> </w:t>
      </w:r>
      <w:hyperlink r:id="rId27">
        <w:r>
          <w:rPr>
            <w:rStyle w:val="Hyperlink"/>
          </w:rPr>
          <w:t xml:space="preserve">[78]</w:t>
        </w:r>
      </w:hyperlink>
      <w:r>
        <w:t xml:space="preserve"> </w:t>
      </w:r>
      <w:hyperlink r:id="rId27">
        <w:r>
          <w:rPr>
            <w:rStyle w:val="Hyperlink"/>
          </w:rPr>
          <w:t xml:space="preserve">[79]</w:t>
        </w:r>
      </w:hyperlink>
      <w:r>
        <w:t xml:space="preserve"> </w:t>
      </w:r>
      <w:r>
        <w:t xml:space="preserve">https://eur-lex.europa.eu/eli/reg/2023/1114/oj/eng</w:t>
      </w:r>
    </w:p>
    <w:p>
      <w:pPr>
        <w:pStyle w:val="BodyText"/>
      </w:pPr>
      <w:hyperlink r:id="rId27">
        <w:r>
          <w:rPr>
            <w:rStyle w:val="Hyperlink"/>
          </w:rPr>
          <w:t xml:space="preserve">https://eur-lex.europa.eu/eli/reg/2023/1114/oj/eng</w:t>
        </w:r>
      </w:hyperlink>
    </w:p>
    <w:p>
      <w:pPr>
        <w:pStyle w:val="BodyText"/>
      </w:pPr>
      <w:hyperlink r:id="rId28">
        <w:r>
          <w:rPr>
            <w:rStyle w:val="Hyperlink"/>
          </w:rPr>
          <w:t xml:space="preserve">[8]</w:t>
        </w:r>
      </w:hyperlink>
      <w:r>
        <w:t xml:space="preserve"> </w:t>
      </w:r>
      <w:hyperlink r:id="rId28">
        <w:r>
          <w:rPr>
            <w:rStyle w:val="Hyperlink"/>
          </w:rPr>
          <w:t xml:space="preserve">[13]</w:t>
        </w:r>
      </w:hyperlink>
      <w:r>
        <w:t xml:space="preserve"> </w:t>
      </w:r>
      <w:hyperlink r:id="rId28">
        <w:r>
          <w:rPr>
            <w:rStyle w:val="Hyperlink"/>
          </w:rPr>
          <w:t xml:space="preserve">[27]</w:t>
        </w:r>
      </w:hyperlink>
      <w:r>
        <w:t xml:space="preserve"> </w:t>
      </w:r>
      <w:hyperlink r:id="rId28">
        <w:r>
          <w:rPr>
            <w:rStyle w:val="Hyperlink"/>
          </w:rPr>
          <w:t xml:space="preserve">[44]</w:t>
        </w:r>
      </w:hyperlink>
      <w:r>
        <w:t xml:space="preserve"> </w:t>
      </w:r>
      <w:r>
        <w:t xml:space="preserve">https://eips.ethereum.org/EIPS/eip-721</w:t>
      </w:r>
    </w:p>
    <w:p>
      <w:pPr>
        <w:pStyle w:val="BodyText"/>
      </w:pPr>
      <w:hyperlink r:id="rId28">
        <w:r>
          <w:rPr>
            <w:rStyle w:val="Hyperlink"/>
          </w:rPr>
          <w:t xml:space="preserve">https://eips.ethereum.org/EIPS/eip-721</w:t>
        </w:r>
      </w:hyperlink>
    </w:p>
    <w:p>
      <w:pPr>
        <w:pStyle w:val="BodyText"/>
      </w:pPr>
      <w:hyperlink r:id="rId29">
        <w:r>
          <w:rPr>
            <w:rStyle w:val="Hyperlink"/>
          </w:rPr>
          <w:t xml:space="preserve">[10]</w:t>
        </w:r>
      </w:hyperlink>
      <w:r>
        <w:t xml:space="preserve"> </w:t>
      </w:r>
      <w:hyperlink r:id="rId29">
        <w:r>
          <w:rPr>
            <w:rStyle w:val="Hyperlink"/>
          </w:rPr>
          <w:t xml:space="preserve">[36]</w:t>
        </w:r>
      </w:hyperlink>
      <w:r>
        <w:t xml:space="preserve"> </w:t>
      </w:r>
      <w:hyperlink r:id="rId29">
        <w:r>
          <w:rPr>
            <w:rStyle w:val="Hyperlink"/>
          </w:rPr>
          <w:t xml:space="preserve">[76]</w:t>
        </w:r>
      </w:hyperlink>
      <w:r>
        <w:t xml:space="preserve"> </w:t>
      </w:r>
      <w:r>
        <w:t xml:space="preserve">https://solana.com/docs/tokens</w:t>
      </w:r>
    </w:p>
    <w:p>
      <w:pPr>
        <w:pStyle w:val="BodyText"/>
      </w:pPr>
      <w:hyperlink r:id="rId29">
        <w:r>
          <w:rPr>
            <w:rStyle w:val="Hyperlink"/>
          </w:rPr>
          <w:t xml:space="preserve">https://solana.com/docs/tokens</w:t>
        </w:r>
      </w:hyperlink>
    </w:p>
    <w:p>
      <w:pPr>
        <w:pStyle w:val="BodyText"/>
      </w:pPr>
      <w:hyperlink r:id="rId31">
        <w:r>
          <w:rPr>
            <w:rStyle w:val="Hyperlink"/>
          </w:rPr>
          <w:t xml:space="preserve">[14]</w:t>
        </w:r>
      </w:hyperlink>
      <w:r>
        <w:t xml:space="preserve"> </w:t>
      </w:r>
      <w:hyperlink r:id="rId31">
        <w:r>
          <w:rPr>
            <w:rStyle w:val="Hyperlink"/>
          </w:rPr>
          <w:t xml:space="preserve">[28]</w:t>
        </w:r>
      </w:hyperlink>
      <w:r>
        <w:t xml:space="preserve"> </w:t>
      </w:r>
      <w:r>
        <w:t xml:space="preserve">https://eips.ethereum.org/EIPS/eip-1155</w:t>
      </w:r>
    </w:p>
    <w:p>
      <w:pPr>
        <w:pStyle w:val="BodyText"/>
      </w:pPr>
      <w:hyperlink r:id="rId31">
        <w:r>
          <w:rPr>
            <w:rStyle w:val="Hyperlink"/>
          </w:rPr>
          <w:t xml:space="preserve">https://eips.ethereum.org/EIPS/eip-1155</w:t>
        </w:r>
      </w:hyperlink>
    </w:p>
    <w:p>
      <w:pPr>
        <w:pStyle w:val="BodyText"/>
      </w:pPr>
      <w:hyperlink r:id="rId32">
        <w:r>
          <w:rPr>
            <w:rStyle w:val="Hyperlink"/>
          </w:rPr>
          <w:t xml:space="preserve">[15]</w:t>
        </w:r>
      </w:hyperlink>
      <w:r>
        <w:t xml:space="preserve"> </w:t>
      </w:r>
      <w:hyperlink r:id="rId32">
        <w:r>
          <w:rPr>
            <w:rStyle w:val="Hyperlink"/>
          </w:rPr>
          <w:t xml:space="preserve">[43]</w:t>
        </w:r>
      </w:hyperlink>
      <w:r>
        <w:t xml:space="preserve"> </w:t>
      </w:r>
      <w:r>
        <w:t xml:space="preserve">https://eips.ethereum.org/EIPS/eip-777</w:t>
      </w:r>
    </w:p>
    <w:p>
      <w:pPr>
        <w:pStyle w:val="BodyText"/>
      </w:pPr>
      <w:hyperlink r:id="rId32">
        <w:r>
          <w:rPr>
            <w:rStyle w:val="Hyperlink"/>
          </w:rPr>
          <w:t xml:space="preserve">https://eips.ethereum.org/EIPS/eip-777</w:t>
        </w:r>
      </w:hyperlink>
    </w:p>
    <w:p>
      <w:pPr>
        <w:pStyle w:val="BodyText"/>
      </w:pPr>
      <w:hyperlink r:id="rId33">
        <w:r>
          <w:rPr>
            <w:rStyle w:val="Hyperlink"/>
          </w:rPr>
          <w:t xml:space="preserve">[16]</w:t>
        </w:r>
      </w:hyperlink>
      <w:r>
        <w:t xml:space="preserve"> </w:t>
      </w:r>
      <w:r>
        <w:t xml:space="preserve">https://eips.ethereum.org/EIPS/eip-2612</w:t>
      </w:r>
    </w:p>
    <w:p>
      <w:pPr>
        <w:pStyle w:val="BodyText"/>
      </w:pPr>
      <w:hyperlink r:id="rId33">
        <w:r>
          <w:rPr>
            <w:rStyle w:val="Hyperlink"/>
          </w:rPr>
          <w:t xml:space="preserve">https://eips.ethereum.org/EIPS/eip-2612</w:t>
        </w:r>
      </w:hyperlink>
    </w:p>
    <w:p>
      <w:pPr>
        <w:pStyle w:val="BodyText"/>
      </w:pPr>
      <w:hyperlink r:id="rId34">
        <w:r>
          <w:rPr>
            <w:rStyle w:val="Hyperlink"/>
          </w:rPr>
          <w:t xml:space="preserve">[17]</w:t>
        </w:r>
      </w:hyperlink>
      <w:r>
        <w:t xml:space="preserve"> </w:t>
      </w:r>
      <w:r>
        <w:t xml:space="preserve">https://eips.ethereum.org/EIPS/eip-4626</w:t>
      </w:r>
    </w:p>
    <w:p>
      <w:pPr>
        <w:pStyle w:val="BodyText"/>
      </w:pPr>
      <w:hyperlink r:id="rId34">
        <w:r>
          <w:rPr>
            <w:rStyle w:val="Hyperlink"/>
          </w:rPr>
          <w:t xml:space="preserve">https://eips.ethereum.org/EIPS/eip-4626</w:t>
        </w:r>
      </w:hyperlink>
    </w:p>
    <w:p>
      <w:pPr>
        <w:pStyle w:val="BodyText"/>
      </w:pPr>
      <w:hyperlink r:id="rId35">
        <w:r>
          <w:rPr>
            <w:rStyle w:val="Hyperlink"/>
          </w:rPr>
          <w:t xml:space="preserve">[18]</w:t>
        </w:r>
      </w:hyperlink>
      <w:r>
        <w:t xml:space="preserve"> </w:t>
      </w:r>
      <w:r>
        <w:t xml:space="preserve">https://raw.githubusercontent.com/bnb-chain/BEPs/master/BEPs/BEP20.md</w:t>
      </w:r>
    </w:p>
    <w:p>
      <w:pPr>
        <w:pStyle w:val="BodyText"/>
      </w:pPr>
      <w:hyperlink r:id="rId35">
        <w:r>
          <w:rPr>
            <w:rStyle w:val="Hyperlink"/>
          </w:rPr>
          <w:t xml:space="preserve">https://raw.githubusercontent.com/bnb-chain/BEPs/master/BEPs/BEP20.md</w:t>
        </w:r>
      </w:hyperlink>
    </w:p>
    <w:p>
      <w:pPr>
        <w:pStyle w:val="BodyText"/>
      </w:pPr>
      <w:hyperlink r:id="rId36">
        <w:r>
          <w:rPr>
            <w:rStyle w:val="Hyperlink"/>
          </w:rPr>
          <w:t xml:space="preserve">[19]</w:t>
        </w:r>
      </w:hyperlink>
      <w:r>
        <w:t xml:space="preserve"> </w:t>
      </w:r>
      <w:r>
        <w:t xml:space="preserve">https://developers.tron.network/docs/trc20-protocol-interface</w:t>
      </w:r>
    </w:p>
    <w:p>
      <w:pPr>
        <w:pStyle w:val="BodyText"/>
      </w:pPr>
      <w:hyperlink r:id="rId36">
        <w:r>
          <w:rPr>
            <w:rStyle w:val="Hyperlink"/>
          </w:rPr>
          <w:t xml:space="preserve">https://developers.tron.network/docs/trc20-protocol-interface</w:t>
        </w:r>
      </w:hyperlink>
    </w:p>
    <w:p>
      <w:pPr>
        <w:pStyle w:val="BodyText"/>
      </w:pPr>
      <w:hyperlink r:id="rId37">
        <w:r>
          <w:rPr>
            <w:rStyle w:val="Hyperlink"/>
          </w:rPr>
          <w:t xml:space="preserve">[20]</w:t>
        </w:r>
      </w:hyperlink>
      <w:r>
        <w:t xml:space="preserve"> </w:t>
      </w:r>
      <w:r>
        <w:t xml:space="preserve">https://solana.com/docs/tokens/extensions</w:t>
      </w:r>
    </w:p>
    <w:p>
      <w:pPr>
        <w:pStyle w:val="BodyText"/>
      </w:pPr>
      <w:hyperlink r:id="rId37">
        <w:r>
          <w:rPr>
            <w:rStyle w:val="Hyperlink"/>
          </w:rPr>
          <w:t xml:space="preserve">https://solana.com/docs/tokens/extensions</w:t>
        </w:r>
      </w:hyperlink>
    </w:p>
    <w:p>
      <w:pPr>
        <w:pStyle w:val="BodyText"/>
      </w:pPr>
      <w:hyperlink r:id="rId38">
        <w:r>
          <w:rPr>
            <w:rStyle w:val="Hyperlink"/>
          </w:rPr>
          <w:t xml:space="preserve">[21]</w:t>
        </w:r>
      </w:hyperlink>
      <w:r>
        <w:t xml:space="preserve"> </w:t>
      </w:r>
      <w:r>
        <w:t xml:space="preserve">https://raw.githubusercontent.com/cosmos/ibc/main/spec/app/ics-020-fungible-token-transfer/README.md</w:t>
      </w:r>
    </w:p>
    <w:p>
      <w:pPr>
        <w:pStyle w:val="BodyText"/>
      </w:pPr>
      <w:hyperlink r:id="rId38">
        <w:r>
          <w:rPr>
            <w:rStyle w:val="Hyperlink"/>
          </w:rPr>
          <w:t xml:space="preserve">https://raw.githubusercontent.com/cosmos/ibc/main/spec/app/ics-020-fungible-token-transfer/README.md</w:t>
        </w:r>
      </w:hyperlink>
    </w:p>
    <w:p>
      <w:pPr>
        <w:pStyle w:val="BodyText"/>
      </w:pPr>
      <w:hyperlink r:id="rId39">
        <w:r>
          <w:rPr>
            <w:rStyle w:val="Hyperlink"/>
          </w:rPr>
          <w:t xml:space="preserve">[22]</w:t>
        </w:r>
      </w:hyperlink>
      <w:r>
        <w:t xml:space="preserve"> </w:t>
      </w:r>
      <w:r>
        <w:t xml:space="preserve">https://wiki.polkadot.com/learn/learn-xcm/</w:t>
      </w:r>
    </w:p>
    <w:p>
      <w:pPr>
        <w:pStyle w:val="BodyText"/>
      </w:pPr>
      <w:hyperlink r:id="rId39">
        <w:r>
          <w:rPr>
            <w:rStyle w:val="Hyperlink"/>
          </w:rPr>
          <w:t xml:space="preserve">https://wiki.polkadot.com/learn/learn-xcm/</w:t>
        </w:r>
      </w:hyperlink>
    </w:p>
    <w:p>
      <w:pPr>
        <w:pStyle w:val="BodyText"/>
      </w:pPr>
      <w:hyperlink r:id="rId42">
        <w:r>
          <w:rPr>
            <w:rStyle w:val="Hyperlink"/>
          </w:rPr>
          <w:t xml:space="preserve">[26]</w:t>
        </w:r>
      </w:hyperlink>
      <w:r>
        <w:t xml:space="preserve"> </w:t>
      </w:r>
      <w:hyperlink r:id="rId42">
        <w:r>
          <w:rPr>
            <w:rStyle w:val="Hyperlink"/>
          </w:rPr>
          <w:t xml:space="preserve">[62]</w:t>
        </w:r>
      </w:hyperlink>
      <w:r>
        <w:t xml:space="preserve"> </w:t>
      </w:r>
      <w:r>
        <w:t xml:space="preserve">https://www.fsb.org/uploads/P170723-3.pdf</w:t>
      </w:r>
    </w:p>
    <w:p>
      <w:pPr>
        <w:pStyle w:val="BodyText"/>
      </w:pPr>
      <w:hyperlink r:id="rId42">
        <w:r>
          <w:rPr>
            <w:rStyle w:val="Hyperlink"/>
          </w:rPr>
          <w:t xml:space="preserve">https://www.fsb.org/uploads/P170723-3.pdf</w:t>
        </w:r>
      </w:hyperlink>
    </w:p>
    <w:p>
      <w:pPr>
        <w:pStyle w:val="BodyText"/>
      </w:pPr>
      <w:hyperlink r:id="rId44">
        <w:r>
          <w:rPr>
            <w:rStyle w:val="Hyperlink"/>
          </w:rPr>
          <w:t xml:space="preserve">[30]</w:t>
        </w:r>
      </w:hyperlink>
      <w:r>
        <w:t xml:space="preserve"> </w:t>
      </w:r>
      <w:r>
        <w:t xml:space="preserve">https://eips.ethereum.org/EIPS/eip-1271</w:t>
      </w:r>
    </w:p>
    <w:p>
      <w:pPr>
        <w:pStyle w:val="BodyText"/>
      </w:pPr>
      <w:hyperlink r:id="rId44">
        <w:r>
          <w:rPr>
            <w:rStyle w:val="Hyperlink"/>
          </w:rPr>
          <w:t xml:space="preserve">https://eips.ethereum.org/EIPS/eip-1271</w:t>
        </w:r>
      </w:hyperlink>
    </w:p>
    <w:p>
      <w:pPr>
        <w:pStyle w:val="BodyText"/>
      </w:pPr>
      <w:hyperlink r:id="rId45">
        <w:r>
          <w:rPr>
            <w:rStyle w:val="Hyperlink"/>
          </w:rPr>
          <w:t xml:space="preserve">[31]</w:t>
        </w:r>
      </w:hyperlink>
      <w:r>
        <w:t xml:space="preserve"> </w:t>
      </w:r>
      <w:hyperlink r:id="rId45">
        <w:r>
          <w:rPr>
            <w:rStyle w:val="Hyperlink"/>
          </w:rPr>
          <w:t xml:space="preserve">[56]</w:t>
        </w:r>
      </w:hyperlink>
      <w:r>
        <w:t xml:space="preserve"> </w:t>
      </w:r>
      <w:r>
        <w:t xml:space="preserve">https://www.fatf-gafi.org/en/publications/Fatfrecommendations/Guidance-rba-virtual-assets-2021.html</w:t>
      </w:r>
    </w:p>
    <w:p>
      <w:pPr>
        <w:pStyle w:val="BodyText"/>
      </w:pPr>
      <w:hyperlink r:id="rId45">
        <w:r>
          <w:rPr>
            <w:rStyle w:val="Hyperlink"/>
          </w:rPr>
          <w:t xml:space="preserve">https://www.fatf-gafi.org/en/publications/Fatfrecommendations/Guidance-rba-virtual-assets-2021.html</w:t>
        </w:r>
      </w:hyperlink>
    </w:p>
    <w:p>
      <w:pPr>
        <w:pStyle w:val="BodyText"/>
      </w:pPr>
      <w:hyperlink r:id="rId47">
        <w:r>
          <w:rPr>
            <w:rStyle w:val="Hyperlink"/>
          </w:rPr>
          <w:t xml:space="preserve">[32]</w:t>
        </w:r>
      </w:hyperlink>
      <w:r>
        <w:t xml:space="preserve"> </w:t>
      </w:r>
      <w:hyperlink r:id="rId47">
        <w:r>
          <w:rPr>
            <w:rStyle w:val="Hyperlink"/>
          </w:rPr>
          <w:t xml:space="preserve">[39]</w:t>
        </w:r>
      </w:hyperlink>
      <w:r>
        <w:t xml:space="preserve"> </w:t>
      </w:r>
      <w:hyperlink r:id="rId47">
        <w:r>
          <w:rPr>
            <w:rStyle w:val="Hyperlink"/>
          </w:rPr>
          <w:t xml:space="preserve">[47]</w:t>
        </w:r>
      </w:hyperlink>
      <w:r>
        <w:t xml:space="preserve"> </w:t>
      </w:r>
      <w:hyperlink r:id="rId47">
        <w:r>
          <w:rPr>
            <w:rStyle w:val="Hyperlink"/>
          </w:rPr>
          <w:t xml:space="preserve">[74]</w:t>
        </w:r>
      </w:hyperlink>
      <w:r>
        <w:t xml:space="preserve"> </w:t>
      </w:r>
      <w:r>
        <w:t xml:space="preserve">https://roninchain.com/blog/posts/back-to-building-ronin-security-breach-6513cc78a5edc1001b03c364</w:t>
      </w:r>
    </w:p>
    <w:p>
      <w:pPr>
        <w:pStyle w:val="BodyText"/>
      </w:pPr>
      <w:hyperlink r:id="rId47">
        <w:r>
          <w:rPr>
            <w:rStyle w:val="Hyperlink"/>
          </w:rPr>
          <w:t xml:space="preserve">https://roninchain.com/blog/posts/back-to-building-ronin-security-breach-6513cc78a5edc1001b03c364</w:t>
        </w:r>
      </w:hyperlink>
    </w:p>
    <w:p>
      <w:pPr>
        <w:pStyle w:val="BodyText"/>
      </w:pPr>
      <w:hyperlink r:id="rId48">
        <w:r>
          <w:rPr>
            <w:rStyle w:val="Hyperlink"/>
          </w:rPr>
          <w:t xml:space="preserve">[33]</w:t>
        </w:r>
      </w:hyperlink>
      <w:r>
        <w:t xml:space="preserve"> </w:t>
      </w:r>
      <w:r>
        <w:t xml:space="preserve">https://www.chainalysis.com/blog/cross-chain-bridge-hacks-2022/</w:t>
      </w:r>
    </w:p>
    <w:p>
      <w:pPr>
        <w:pStyle w:val="BodyText"/>
      </w:pPr>
      <w:hyperlink r:id="rId48">
        <w:r>
          <w:rPr>
            <w:rStyle w:val="Hyperlink"/>
          </w:rPr>
          <w:t xml:space="preserve">https://www.chainalysis.com/blog/cross-chain-bridge-hacks-2022/</w:t>
        </w:r>
      </w:hyperlink>
    </w:p>
    <w:p>
      <w:pPr>
        <w:pStyle w:val="BodyText"/>
      </w:pPr>
      <w:hyperlink r:id="rId50">
        <w:r>
          <w:rPr>
            <w:rStyle w:val="Hyperlink"/>
          </w:rPr>
          <w:t xml:space="preserve">[34]</w:t>
        </w:r>
      </w:hyperlink>
      <w:r>
        <w:t xml:space="preserve"> </w:t>
      </w:r>
      <w:r>
        <w:t xml:space="preserve">https://raw.githubusercontent.com/trottier/original-bitcoin/master/src/main.cpp</w:t>
      </w:r>
    </w:p>
    <w:p>
      <w:pPr>
        <w:pStyle w:val="BodyText"/>
      </w:pPr>
      <w:hyperlink r:id="rId50">
        <w:r>
          <w:rPr>
            <w:rStyle w:val="Hyperlink"/>
          </w:rPr>
          <w:t xml:space="preserve">https://raw.githubusercontent.com/trottier/original-bitcoin/master/src/main.cpp</w:t>
        </w:r>
      </w:hyperlink>
    </w:p>
    <w:p>
      <w:pPr>
        <w:pStyle w:val="BodyText"/>
      </w:pPr>
      <w:hyperlink r:id="rId51">
        <w:r>
          <w:rPr>
            <w:rStyle w:val="Hyperlink"/>
          </w:rPr>
          <w:t xml:space="preserve">[35]</w:t>
        </w:r>
      </w:hyperlink>
      <w:r>
        <w:t xml:space="preserve"> </w:t>
      </w:r>
      <w:hyperlink r:id="rId51">
        <w:r>
          <w:rPr>
            <w:rStyle w:val="Hyperlink"/>
          </w:rPr>
          <w:t xml:space="preserve">[50]</w:t>
        </w:r>
      </w:hyperlink>
      <w:r>
        <w:t xml:space="preserve"> </w:t>
      </w:r>
      <w:r>
        <w:t xml:space="preserve">https://eips.ethereum.org/EIPS/eip-1559</w:t>
      </w:r>
    </w:p>
    <w:p>
      <w:pPr>
        <w:pStyle w:val="BodyText"/>
      </w:pPr>
      <w:hyperlink r:id="rId51">
        <w:r>
          <w:rPr>
            <w:rStyle w:val="Hyperlink"/>
          </w:rPr>
          <w:t xml:space="preserve">https://eips.ethereum.org/EIPS/eip-1559</w:t>
        </w:r>
      </w:hyperlink>
    </w:p>
    <w:p>
      <w:pPr>
        <w:pStyle w:val="BodyText"/>
      </w:pPr>
      <w:hyperlink r:id="rId52">
        <w:r>
          <w:rPr>
            <w:rStyle w:val="Hyperlink"/>
          </w:rPr>
          <w:t xml:space="preserve">[38]</w:t>
        </w:r>
      </w:hyperlink>
      <w:r>
        <w:t xml:space="preserve"> </w:t>
      </w:r>
      <w:r>
        <w:t xml:space="preserve">https://www.finma.ch/en/~/media/finma/dokumente/dokumentencenter/myfinma/1bewilligung/fintech/wegleitung-ico.pdf?la=en</w:t>
      </w:r>
    </w:p>
    <w:p>
      <w:pPr>
        <w:pStyle w:val="BodyText"/>
      </w:pPr>
      <w:hyperlink r:id="rId52">
        <w:r>
          <w:rPr>
            <w:rStyle w:val="Hyperlink"/>
          </w:rPr>
          <w:t xml:space="preserve">https://www.finma.ch/en/~/media/finma/dokumente/dokumentencenter/myfinma/1bewilligung/fintech/wegleitung-ico.pdf?la=en</w:t>
        </w:r>
      </w:hyperlink>
    </w:p>
    <w:p>
      <w:pPr>
        <w:pStyle w:val="BodyText"/>
      </w:pPr>
      <w:hyperlink r:id="rId53">
        <w:r>
          <w:rPr>
            <w:rStyle w:val="Hyperlink"/>
          </w:rPr>
          <w:t xml:space="preserve">[40]</w:t>
        </w:r>
      </w:hyperlink>
      <w:r>
        <w:t xml:space="preserve"> </w:t>
      </w:r>
      <w:hyperlink r:id="rId53">
        <w:r>
          <w:rPr>
            <w:rStyle w:val="Hyperlink"/>
          </w:rPr>
          <w:t xml:space="preserve">[48]</w:t>
        </w:r>
      </w:hyperlink>
      <w:r>
        <w:t xml:space="preserve"> </w:t>
      </w:r>
      <w:hyperlink r:id="rId53">
        <w:r>
          <w:rPr>
            <w:rStyle w:val="Hyperlink"/>
          </w:rPr>
          <w:t xml:space="preserve">[65]</w:t>
        </w:r>
      </w:hyperlink>
      <w:r>
        <w:t xml:space="preserve"> </w:t>
      </w:r>
      <w:r>
        <w:t xml:space="preserve">Report of Investigation Pursuant to Section 21(a) of the ...</w:t>
      </w:r>
    </w:p>
    <w:p>
      <w:pPr>
        <w:pStyle w:val="BodyText"/>
      </w:pPr>
      <w:hyperlink r:id="rId53">
        <w:r>
          <w:rPr>
            <w:rStyle w:val="Hyperlink"/>
          </w:rPr>
          <w:t xml:space="preserve">https://www.sec.gov/files/litigation/investreport/34-81207.pdf?utm_source=chatgpt.com</w:t>
        </w:r>
      </w:hyperlink>
    </w:p>
    <w:p>
      <w:pPr>
        <w:pStyle w:val="BodyText"/>
      </w:pPr>
      <w:hyperlink r:id="rId55">
        <w:r>
          <w:rPr>
            <w:rStyle w:val="Hyperlink"/>
          </w:rPr>
          <w:t xml:space="preserve">[41]</w:t>
        </w:r>
      </w:hyperlink>
      <w:r>
        <w:t xml:space="preserve"> </w:t>
      </w:r>
      <w:r>
        <w:t xml:space="preserve">https://eips.ethereum.org/EIPS/eip-1967</w:t>
      </w:r>
    </w:p>
    <w:p>
      <w:pPr>
        <w:pStyle w:val="BodyText"/>
      </w:pPr>
      <w:hyperlink r:id="rId55">
        <w:r>
          <w:rPr>
            <w:rStyle w:val="Hyperlink"/>
          </w:rPr>
          <w:t xml:space="preserve">https://eips.ethereum.org/EIPS/eip-1967</w:t>
        </w:r>
      </w:hyperlink>
    </w:p>
    <w:p>
      <w:pPr>
        <w:pStyle w:val="BodyText"/>
      </w:pPr>
      <w:hyperlink r:id="rId58">
        <w:r>
          <w:rPr>
            <w:rStyle w:val="Hyperlink"/>
          </w:rPr>
          <w:t xml:space="preserve">[49]</w:t>
        </w:r>
      </w:hyperlink>
      <w:r>
        <w:t xml:space="preserve"> </w:t>
      </w:r>
      <w:hyperlink r:id="rId58">
        <w:r>
          <w:rPr>
            <w:rStyle w:val="Hyperlink"/>
          </w:rPr>
          <w:t xml:space="preserve">[57]</w:t>
        </w:r>
      </w:hyperlink>
      <w:r>
        <w:t xml:space="preserve"> </w:t>
      </w:r>
      <w:hyperlink r:id="rId58">
        <w:r>
          <w:rPr>
            <w:rStyle w:val="Hyperlink"/>
          </w:rPr>
          <w:t xml:space="preserve">[67]</w:t>
        </w:r>
      </w:hyperlink>
      <w:r>
        <w:t xml:space="preserve"> </w:t>
      </w:r>
      <w:r>
        <w:t xml:space="preserve">https://www.nber.org/system/files/working_papers/w24877/w24877.pdf</w:t>
      </w:r>
    </w:p>
    <w:p>
      <w:pPr>
        <w:pStyle w:val="BodyText"/>
      </w:pPr>
      <w:hyperlink r:id="rId58">
        <w:r>
          <w:rPr>
            <w:rStyle w:val="Hyperlink"/>
          </w:rPr>
          <w:t xml:space="preserve">https://www.nber.org/system/files/working_papers/w24877/w24877.pdf</w:t>
        </w:r>
      </w:hyperlink>
    </w:p>
    <w:p>
      <w:pPr>
        <w:pStyle w:val="BodyText"/>
      </w:pPr>
      <w:hyperlink r:id="rId59">
        <w:r>
          <w:rPr>
            <w:rStyle w:val="Hyperlink"/>
          </w:rPr>
          <w:t xml:space="preserve">[51]</w:t>
        </w:r>
      </w:hyperlink>
      <w:r>
        <w:t xml:space="preserve"> </w:t>
      </w:r>
      <w:r>
        <w:t xml:space="preserve">https://www.bis.org/bcbs/publ/d545.pdf</w:t>
      </w:r>
    </w:p>
    <w:p>
      <w:pPr>
        <w:pStyle w:val="BodyText"/>
      </w:pPr>
      <w:hyperlink r:id="rId59">
        <w:r>
          <w:rPr>
            <w:rStyle w:val="Hyperlink"/>
          </w:rPr>
          <w:t xml:space="preserve">https://www.bis.org/bcbs/publ/d545.pdf</w:t>
        </w:r>
      </w:hyperlink>
    </w:p>
    <w:p>
      <w:pPr>
        <w:pStyle w:val="BodyText"/>
      </w:pPr>
      <w:hyperlink r:id="rId61">
        <w:r>
          <w:rPr>
            <w:rStyle w:val="Hyperlink"/>
          </w:rPr>
          <w:t xml:space="preserve">[53]</w:t>
        </w:r>
      </w:hyperlink>
      <w:r>
        <w:t xml:space="preserve"> </w:t>
      </w:r>
      <w:r>
        <w:t xml:space="preserve">https://docs.soliditylang.org/en/latest/security-considerations.html</w:t>
      </w:r>
    </w:p>
    <w:p>
      <w:pPr>
        <w:pStyle w:val="BodyText"/>
      </w:pPr>
      <w:hyperlink r:id="rId61">
        <w:r>
          <w:rPr>
            <w:rStyle w:val="Hyperlink"/>
          </w:rPr>
          <w:t xml:space="preserve">https://docs.soliditylang.org/en/latest/security-considerations.html</w:t>
        </w:r>
      </w:hyperlink>
    </w:p>
    <w:p>
      <w:pPr>
        <w:pStyle w:val="BodyText"/>
      </w:pPr>
      <w:hyperlink r:id="rId64">
        <w:r>
          <w:rPr>
            <w:rStyle w:val="Hyperlink"/>
          </w:rPr>
          <w:t xml:space="preserve">[55]</w:t>
        </w:r>
      </w:hyperlink>
      <w:r>
        <w:t xml:space="preserve"> </w:t>
      </w:r>
      <w:r>
        <w:t xml:space="preserve">https://www.fatf-gafi.org/en/topics/virtual-assets.html</w:t>
      </w:r>
    </w:p>
    <w:p>
      <w:pPr>
        <w:pStyle w:val="BodyText"/>
      </w:pPr>
      <w:hyperlink r:id="rId64">
        <w:r>
          <w:rPr>
            <w:rStyle w:val="Hyperlink"/>
          </w:rPr>
          <w:t xml:space="preserve">https://www.fatf-gafi.org/en/topics/virtual-assets.html</w:t>
        </w:r>
      </w:hyperlink>
    </w:p>
    <w:p>
      <w:pPr>
        <w:pStyle w:val="BodyText"/>
      </w:pPr>
      <w:hyperlink r:id="rId65">
        <w:r>
          <w:rPr>
            <w:rStyle w:val="Hyperlink"/>
          </w:rPr>
          <w:t xml:space="preserve">[58]</w:t>
        </w:r>
      </w:hyperlink>
      <w:r>
        <w:t xml:space="preserve"> </w:t>
      </w:r>
      <w:r>
        <w:t xml:space="preserve">https://www.fincen.gov/system/files/shared/FIN-2013-G001.pdf</w:t>
      </w:r>
    </w:p>
    <w:p>
      <w:pPr>
        <w:pStyle w:val="BodyText"/>
      </w:pPr>
      <w:hyperlink r:id="rId65">
        <w:r>
          <w:rPr>
            <w:rStyle w:val="Hyperlink"/>
          </w:rPr>
          <w:t xml:space="preserve">https://www.fincen.gov/system/files/shared/FIN-2013-G001.pdf</w:t>
        </w:r>
      </w:hyperlink>
    </w:p>
    <w:p>
      <w:pPr>
        <w:pStyle w:val="BodyText"/>
      </w:pPr>
      <w:hyperlink r:id="rId67">
        <w:r>
          <w:rPr>
            <w:rStyle w:val="Hyperlink"/>
          </w:rPr>
          <w:t xml:space="preserve">[60]</w:t>
        </w:r>
      </w:hyperlink>
      <w:r>
        <w:t xml:space="preserve"> </w:t>
      </w:r>
      <w:r>
        <w:t xml:space="preserve">https://www.esma.europa.eu/esmas-activities/digital-finance-and-innovation/markets-crypto-assets-regulation-mica</w:t>
      </w:r>
    </w:p>
    <w:p>
      <w:pPr>
        <w:pStyle w:val="BodyText"/>
      </w:pPr>
      <w:hyperlink r:id="rId67">
        <w:r>
          <w:rPr>
            <w:rStyle w:val="Hyperlink"/>
          </w:rPr>
          <w:t xml:space="preserve">https://www.esma.europa.eu/esmas-activities/digital-finance-and-innovation/markets-crypto-assets-regulation-mica</w:t>
        </w:r>
      </w:hyperlink>
    </w:p>
    <w:p>
      <w:pPr>
        <w:pStyle w:val="BodyText"/>
      </w:pPr>
      <w:hyperlink r:id="rId69">
        <w:r>
          <w:rPr>
            <w:rStyle w:val="Hyperlink"/>
          </w:rPr>
          <w:t xml:space="preserve">[63]</w:t>
        </w:r>
      </w:hyperlink>
      <w:r>
        <w:t xml:space="preserve"> </w:t>
      </w:r>
      <w:r>
        <w:t xml:space="preserve">https://www.iosco.org/library/pubdocs/pdf/IOSCOPD747.pdf</w:t>
      </w:r>
    </w:p>
    <w:p>
      <w:pPr>
        <w:pStyle w:val="BodyText"/>
      </w:pPr>
      <w:hyperlink r:id="rId69">
        <w:r>
          <w:rPr>
            <w:rStyle w:val="Hyperlink"/>
          </w:rPr>
          <w:t xml:space="preserve">https://www.iosco.org/library/pubdocs/pdf/IOSCOPD747.pdf</w:t>
        </w:r>
      </w:hyperlink>
    </w:p>
    <w:p>
      <w:pPr>
        <w:pStyle w:val="BodyText"/>
      </w:pPr>
      <w:hyperlink r:id="rId73">
        <w:r>
          <w:rPr>
            <w:rStyle w:val="Hyperlink"/>
          </w:rPr>
          <w:t xml:space="preserve">[69]</w:t>
        </w:r>
      </w:hyperlink>
      <w:r>
        <w:t xml:space="preserve"> </w:t>
      </w:r>
      <w:r>
        <w:t xml:space="preserve">https://www.cfainstitute.org/about/press-room/2023/cryptoassets-valuation-guide-2023</w:t>
      </w:r>
    </w:p>
    <w:p>
      <w:pPr>
        <w:pStyle w:val="BodyText"/>
      </w:pPr>
      <w:hyperlink r:id="rId73">
        <w:r>
          <w:rPr>
            <w:rStyle w:val="Hyperlink"/>
          </w:rPr>
          <w:t xml:space="preserve">https://www.cfainstitute.org/about/press-room/2023/cryptoassets-valuation-guide-2023</w:t>
        </w:r>
      </w:hyperlink>
    </w:p>
    <w:p>
      <w:pPr>
        <w:pStyle w:val="BodyText"/>
      </w:pPr>
      <w:hyperlink r:id="rId74">
        <w:r>
          <w:rPr>
            <w:rStyle w:val="Hyperlink"/>
          </w:rPr>
          <w:t xml:space="preserve">[72]</w:t>
        </w:r>
      </w:hyperlink>
      <w:r>
        <w:t xml:space="preserve"> </w:t>
      </w:r>
      <w:r>
        <w:t xml:space="preserve">https://ideas.repec.org/p/aiz/louvar/2022033.html</w:t>
      </w:r>
    </w:p>
    <w:p>
      <w:pPr>
        <w:pStyle w:val="BodyText"/>
      </w:pPr>
      <w:hyperlink r:id="rId74">
        <w:r>
          <w:rPr>
            <w:rStyle w:val="Hyperlink"/>
          </w:rPr>
          <w:t xml:space="preserve">https://ideas.repec.org/p/aiz/louvar/2022033.html</w:t>
        </w:r>
      </w:hyperlink>
    </w:p>
    <w:p>
      <w:pPr>
        <w:pStyle w:val="BodyText"/>
      </w:pPr>
      <w:hyperlink r:id="rId76">
        <w:r>
          <w:rPr>
            <w:rStyle w:val="Hyperlink"/>
          </w:rPr>
          <w:t xml:space="preserve">[73]</w:t>
        </w:r>
      </w:hyperlink>
      <w:r>
        <w:t xml:space="preserve"> </w:t>
      </w:r>
      <w:r>
        <w:t xml:space="preserve">https://arxiv.org/html/2510.14435v3</w:t>
      </w:r>
    </w:p>
    <w:p>
      <w:pPr>
        <w:pStyle w:val="BodyText"/>
      </w:pPr>
      <w:hyperlink r:id="rId76">
        <w:r>
          <w:rPr>
            <w:rStyle w:val="Hyperlink"/>
          </w:rPr>
          <w:t xml:space="preserve">https://arxiv.org/html/2510.14435v3</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arxiv.org/html/2510.14435v3" TargetMode="External" /><Relationship Type="http://schemas.openxmlformats.org/officeDocument/2006/relationships/hyperlink" Id="rId36" Target="https://developers.tron.network/docs/trc20-protocol-interface" TargetMode="External" /><Relationship Type="http://schemas.openxmlformats.org/officeDocument/2006/relationships/hyperlink" Id="rId61" Target="https://docs.soliditylang.org/en/latest/security-considerations.html" TargetMode="External" /><Relationship Type="http://schemas.openxmlformats.org/officeDocument/2006/relationships/hyperlink" Id="rId31" Target="https://eips.ethereum.org/EIPS/eip-1155" TargetMode="External" /><Relationship Type="http://schemas.openxmlformats.org/officeDocument/2006/relationships/hyperlink" Id="rId44" Target="https://eips.ethereum.org/EIPS/eip-1271" TargetMode="External" /><Relationship Type="http://schemas.openxmlformats.org/officeDocument/2006/relationships/hyperlink" Id="rId51" Target="https://eips.ethereum.org/EIPS/eip-1559" TargetMode="External" /><Relationship Type="http://schemas.openxmlformats.org/officeDocument/2006/relationships/hyperlink" Id="rId55" Target="https://eips.ethereum.org/EIPS/eip-1967" TargetMode="External" /><Relationship Type="http://schemas.openxmlformats.org/officeDocument/2006/relationships/hyperlink" Id="rId22" Target="https://eips.ethereum.org/EIPS/eip-20" TargetMode="External" /><Relationship Type="http://schemas.openxmlformats.org/officeDocument/2006/relationships/hyperlink" Id="rId33" Target="https://eips.ethereum.org/EIPS/eip-2612" TargetMode="External" /><Relationship Type="http://schemas.openxmlformats.org/officeDocument/2006/relationships/hyperlink" Id="rId34" Target="https://eips.ethereum.org/EIPS/eip-4626" TargetMode="External" /><Relationship Type="http://schemas.openxmlformats.org/officeDocument/2006/relationships/hyperlink" Id="rId28" Target="https://eips.ethereum.org/EIPS/eip-721" TargetMode="External" /><Relationship Type="http://schemas.openxmlformats.org/officeDocument/2006/relationships/hyperlink" Id="rId32" Target="https://eips.ethereum.org/EIPS/eip-777" TargetMode="External" /><Relationship Type="http://schemas.openxmlformats.org/officeDocument/2006/relationships/hyperlink" Id="rId27" Target="https://eur-lex.europa.eu/eli/reg/2023/1114/oj/eng" TargetMode="External" /><Relationship Type="http://schemas.openxmlformats.org/officeDocument/2006/relationships/hyperlink" Id="rId74" Target="https://ideas.repec.org/p/aiz/louvar/2022033.html" TargetMode="External" /><Relationship Type="http://schemas.openxmlformats.org/officeDocument/2006/relationships/hyperlink" Id="rId35" Target="https://raw.githubusercontent.com/bnb-chain/BEPs/master/BEPs/BEP20.md" TargetMode="External" /><Relationship Type="http://schemas.openxmlformats.org/officeDocument/2006/relationships/hyperlink" Id="rId38" Target="https://raw.githubusercontent.com/cosmos/ibc/main/spec/app/ics-020-fungible-token-transfer/README.md" TargetMode="External" /><Relationship Type="http://schemas.openxmlformats.org/officeDocument/2006/relationships/hyperlink" Id="rId50" Target="https://raw.githubusercontent.com/trottier/original-bitcoin/master/src/main.cpp" TargetMode="External" /><Relationship Type="http://schemas.openxmlformats.org/officeDocument/2006/relationships/hyperlink" Id="rId47" Target="https://roninchain.com/blog/posts/back-to-building-ronin-security-breach-6513cc78a5edc1001b03c364" TargetMode="External" /><Relationship Type="http://schemas.openxmlformats.org/officeDocument/2006/relationships/hyperlink" Id="rId25" Target="https://rpc.cfainstitute.org/sites/default/files/-/media/documents/article/industry-research/valuation-of--cryptoassets.pdf" TargetMode="External" /><Relationship Type="http://schemas.openxmlformats.org/officeDocument/2006/relationships/hyperlink" Id="rId29" Target="https://solana.com/docs/tokens" TargetMode="External" /><Relationship Type="http://schemas.openxmlformats.org/officeDocument/2006/relationships/hyperlink" Id="rId37" Target="https://solana.com/docs/tokens/extensions" TargetMode="External" /><Relationship Type="http://schemas.openxmlformats.org/officeDocument/2006/relationships/hyperlink" Id="rId24" Target="https://swcregistry.io/docs/SWC-107/" TargetMode="External" /><Relationship Type="http://schemas.openxmlformats.org/officeDocument/2006/relationships/hyperlink" Id="rId39" Target="https://wiki.polkadot.com/learn/learn-xcm/" TargetMode="External" /><Relationship Type="http://schemas.openxmlformats.org/officeDocument/2006/relationships/hyperlink" Id="rId59" Target="https://www.bis.org/bcbs/publ/d545.pdf" TargetMode="External" /><Relationship Type="http://schemas.openxmlformats.org/officeDocument/2006/relationships/hyperlink" Id="rId21" Target="https://www.bis.org/cpmi/publ/d225.pdf" TargetMode="External" /><Relationship Type="http://schemas.openxmlformats.org/officeDocument/2006/relationships/hyperlink" Id="rId73" Target="https://www.cfainstitute.org/about/press-room/2023/cryptoassets-valuation-guide-2023" TargetMode="External" /><Relationship Type="http://schemas.openxmlformats.org/officeDocument/2006/relationships/hyperlink" Id="rId48" Target="https://www.chainalysis.com/blog/cross-chain-bridge-hacks-2022/" TargetMode="External" /><Relationship Type="http://schemas.openxmlformats.org/officeDocument/2006/relationships/hyperlink" Id="rId67" Target="https://www.esma.europa.eu/esmas-activities/digital-finance-and-innovation/markets-crypto-assets-regulation-mica" TargetMode="External" /><Relationship Type="http://schemas.openxmlformats.org/officeDocument/2006/relationships/hyperlink" Id="rId45" Target="https://www.fatf-gafi.org/en/publications/Fatfrecommendations/Guidance-rba-virtual-assets-2021.html" TargetMode="External" /><Relationship Type="http://schemas.openxmlformats.org/officeDocument/2006/relationships/hyperlink" Id="rId64" Target="https://www.fatf-gafi.org/en/topics/virtual-assets.html" TargetMode="External" /><Relationship Type="http://schemas.openxmlformats.org/officeDocument/2006/relationships/hyperlink" Id="rId65" Target="https://www.fincen.gov/system/files/shared/FIN-2013-G001.pdf" TargetMode="External" /><Relationship Type="http://schemas.openxmlformats.org/officeDocument/2006/relationships/hyperlink" Id="rId52" Target="https://www.finma.ch/en/~/media/finma/dokumente/dokumentencenter/myfinma/1bewilligung/fintech/wegleitung-ico.pdf?la=en" TargetMode="External" /><Relationship Type="http://schemas.openxmlformats.org/officeDocument/2006/relationships/hyperlink" Id="rId42" Target="https://www.fsb.org/uploads/P170723-3.pdf" TargetMode="External" /><Relationship Type="http://schemas.openxmlformats.org/officeDocument/2006/relationships/hyperlink" Id="rId69" Target="https://www.iosco.org/library/pubdocs/pdf/IOSCOPD747.pdf" TargetMode="External" /><Relationship Type="http://schemas.openxmlformats.org/officeDocument/2006/relationships/hyperlink" Id="rId23" Target="https://www.iosco.org/library/pubdocs/pdf/IOSCOPD809.pdf" TargetMode="External" /><Relationship Type="http://schemas.openxmlformats.org/officeDocument/2006/relationships/hyperlink" Id="rId58" Target="https://www.nber.org/system/files/working_papers/w24877/w24877.pdf" TargetMode="External" /><Relationship Type="http://schemas.openxmlformats.org/officeDocument/2006/relationships/hyperlink" Id="rId53" Target="https://www.sec.gov/files/litigation/investreport/34-81207.pdf?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76" Target="https://arxiv.org/html/2510.14435v3" TargetMode="External" /><Relationship Type="http://schemas.openxmlformats.org/officeDocument/2006/relationships/hyperlink" Id="rId36" Target="https://developers.tron.network/docs/trc20-protocol-interface" TargetMode="External" /><Relationship Type="http://schemas.openxmlformats.org/officeDocument/2006/relationships/hyperlink" Id="rId61" Target="https://docs.soliditylang.org/en/latest/security-considerations.html" TargetMode="External" /><Relationship Type="http://schemas.openxmlformats.org/officeDocument/2006/relationships/hyperlink" Id="rId31" Target="https://eips.ethereum.org/EIPS/eip-1155" TargetMode="External" /><Relationship Type="http://schemas.openxmlformats.org/officeDocument/2006/relationships/hyperlink" Id="rId44" Target="https://eips.ethereum.org/EIPS/eip-1271" TargetMode="External" /><Relationship Type="http://schemas.openxmlformats.org/officeDocument/2006/relationships/hyperlink" Id="rId51" Target="https://eips.ethereum.org/EIPS/eip-1559" TargetMode="External" /><Relationship Type="http://schemas.openxmlformats.org/officeDocument/2006/relationships/hyperlink" Id="rId55" Target="https://eips.ethereum.org/EIPS/eip-1967" TargetMode="External" /><Relationship Type="http://schemas.openxmlformats.org/officeDocument/2006/relationships/hyperlink" Id="rId22" Target="https://eips.ethereum.org/EIPS/eip-20" TargetMode="External" /><Relationship Type="http://schemas.openxmlformats.org/officeDocument/2006/relationships/hyperlink" Id="rId33" Target="https://eips.ethereum.org/EIPS/eip-2612" TargetMode="External" /><Relationship Type="http://schemas.openxmlformats.org/officeDocument/2006/relationships/hyperlink" Id="rId34" Target="https://eips.ethereum.org/EIPS/eip-4626" TargetMode="External" /><Relationship Type="http://schemas.openxmlformats.org/officeDocument/2006/relationships/hyperlink" Id="rId28" Target="https://eips.ethereum.org/EIPS/eip-721" TargetMode="External" /><Relationship Type="http://schemas.openxmlformats.org/officeDocument/2006/relationships/hyperlink" Id="rId32" Target="https://eips.ethereum.org/EIPS/eip-777" TargetMode="External" /><Relationship Type="http://schemas.openxmlformats.org/officeDocument/2006/relationships/hyperlink" Id="rId27" Target="https://eur-lex.europa.eu/eli/reg/2023/1114/oj/eng" TargetMode="External" /><Relationship Type="http://schemas.openxmlformats.org/officeDocument/2006/relationships/hyperlink" Id="rId74" Target="https://ideas.repec.org/p/aiz/louvar/2022033.html" TargetMode="External" /><Relationship Type="http://schemas.openxmlformats.org/officeDocument/2006/relationships/hyperlink" Id="rId35" Target="https://raw.githubusercontent.com/bnb-chain/BEPs/master/BEPs/BEP20.md" TargetMode="External" /><Relationship Type="http://schemas.openxmlformats.org/officeDocument/2006/relationships/hyperlink" Id="rId38" Target="https://raw.githubusercontent.com/cosmos/ibc/main/spec/app/ics-020-fungible-token-transfer/README.md" TargetMode="External" /><Relationship Type="http://schemas.openxmlformats.org/officeDocument/2006/relationships/hyperlink" Id="rId50" Target="https://raw.githubusercontent.com/trottier/original-bitcoin/master/src/main.cpp" TargetMode="External" /><Relationship Type="http://schemas.openxmlformats.org/officeDocument/2006/relationships/hyperlink" Id="rId47" Target="https://roninchain.com/blog/posts/back-to-building-ronin-security-breach-6513cc78a5edc1001b03c364" TargetMode="External" /><Relationship Type="http://schemas.openxmlformats.org/officeDocument/2006/relationships/hyperlink" Id="rId25" Target="https://rpc.cfainstitute.org/sites/default/files/-/media/documents/article/industry-research/valuation-of--cryptoassets.pdf" TargetMode="External" /><Relationship Type="http://schemas.openxmlformats.org/officeDocument/2006/relationships/hyperlink" Id="rId29" Target="https://solana.com/docs/tokens" TargetMode="External" /><Relationship Type="http://schemas.openxmlformats.org/officeDocument/2006/relationships/hyperlink" Id="rId37" Target="https://solana.com/docs/tokens/extensions" TargetMode="External" /><Relationship Type="http://schemas.openxmlformats.org/officeDocument/2006/relationships/hyperlink" Id="rId24" Target="https://swcregistry.io/docs/SWC-107/" TargetMode="External" /><Relationship Type="http://schemas.openxmlformats.org/officeDocument/2006/relationships/hyperlink" Id="rId39" Target="https://wiki.polkadot.com/learn/learn-xcm/" TargetMode="External" /><Relationship Type="http://schemas.openxmlformats.org/officeDocument/2006/relationships/hyperlink" Id="rId59" Target="https://www.bis.org/bcbs/publ/d545.pdf" TargetMode="External" /><Relationship Type="http://schemas.openxmlformats.org/officeDocument/2006/relationships/hyperlink" Id="rId21" Target="https://www.bis.org/cpmi/publ/d225.pdf" TargetMode="External" /><Relationship Type="http://schemas.openxmlformats.org/officeDocument/2006/relationships/hyperlink" Id="rId73" Target="https://www.cfainstitute.org/about/press-room/2023/cryptoassets-valuation-guide-2023" TargetMode="External" /><Relationship Type="http://schemas.openxmlformats.org/officeDocument/2006/relationships/hyperlink" Id="rId48" Target="https://www.chainalysis.com/blog/cross-chain-bridge-hacks-2022/" TargetMode="External" /><Relationship Type="http://schemas.openxmlformats.org/officeDocument/2006/relationships/hyperlink" Id="rId67" Target="https://www.esma.europa.eu/esmas-activities/digital-finance-and-innovation/markets-crypto-assets-regulation-mica" TargetMode="External" /><Relationship Type="http://schemas.openxmlformats.org/officeDocument/2006/relationships/hyperlink" Id="rId45" Target="https://www.fatf-gafi.org/en/publications/Fatfrecommendations/Guidance-rba-virtual-assets-2021.html" TargetMode="External" /><Relationship Type="http://schemas.openxmlformats.org/officeDocument/2006/relationships/hyperlink" Id="rId64" Target="https://www.fatf-gafi.org/en/topics/virtual-assets.html" TargetMode="External" /><Relationship Type="http://schemas.openxmlformats.org/officeDocument/2006/relationships/hyperlink" Id="rId65" Target="https://www.fincen.gov/system/files/shared/FIN-2013-G001.pdf" TargetMode="External" /><Relationship Type="http://schemas.openxmlformats.org/officeDocument/2006/relationships/hyperlink" Id="rId52" Target="https://www.finma.ch/en/~/media/finma/dokumente/dokumentencenter/myfinma/1bewilligung/fintech/wegleitung-ico.pdf?la=en" TargetMode="External" /><Relationship Type="http://schemas.openxmlformats.org/officeDocument/2006/relationships/hyperlink" Id="rId42" Target="https://www.fsb.org/uploads/P170723-3.pdf" TargetMode="External" /><Relationship Type="http://schemas.openxmlformats.org/officeDocument/2006/relationships/hyperlink" Id="rId69" Target="https://www.iosco.org/library/pubdocs/pdf/IOSCOPD747.pdf" TargetMode="External" /><Relationship Type="http://schemas.openxmlformats.org/officeDocument/2006/relationships/hyperlink" Id="rId23" Target="https://www.iosco.org/library/pubdocs/pdf/IOSCOPD809.pdf" TargetMode="External" /><Relationship Type="http://schemas.openxmlformats.org/officeDocument/2006/relationships/hyperlink" Id="rId58" Target="https://www.nber.org/system/files/working_papers/w24877/w24877.pdf" TargetMode="External" /><Relationship Type="http://schemas.openxmlformats.org/officeDocument/2006/relationships/hyperlink" Id="rId53" Target="https://www.sec.gov/files/litigation/investreport/34-81207.pdf?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2026-02-22T23:19:28Z</dcterms:created>
  <dcterms:modified xsi:type="dcterms:W3CDTF">2026-02-22T23:19:28Z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