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5961" w14:textId="77777777" w:rsidR="00C94835" w:rsidRPr="00C94835" w:rsidRDefault="00C94835" w:rsidP="00C94835">
      <w:pPr>
        <w:spacing w:before="360" w:after="240" w:line="240" w:lineRule="auto"/>
        <w:outlineLvl w:val="1"/>
        <w:rPr>
          <w:rFonts w:ascii="Segoe UI" w:eastAsia="Times New Roman" w:hAnsi="Segoe UI" w:cs="Segoe UI"/>
          <w:b/>
          <w:bCs/>
          <w:color w:val="333333"/>
          <w:kern w:val="0"/>
          <w:sz w:val="36"/>
          <w:szCs w:val="36"/>
          <w14:ligatures w14:val="none"/>
        </w:rPr>
      </w:pPr>
      <w:r w:rsidRPr="00C94835">
        <w:rPr>
          <w:rFonts w:ascii="Segoe UI" w:eastAsia="Times New Roman" w:hAnsi="Segoe UI" w:cs="Segoe UI"/>
          <w:b/>
          <w:bCs/>
          <w:color w:val="333333"/>
          <w:kern w:val="0"/>
          <w:sz w:val="36"/>
          <w:szCs w:val="36"/>
          <w14:ligatures w14:val="none"/>
        </w:rPr>
        <w:t>Overall Impression</w:t>
      </w:r>
    </w:p>
    <w:p w14:paraId="20E0A712"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This report reads like a well-produced marketing document from Anthropic — polished, optimistic, and strategically positioned to drive adoption of Claude-based tooling. That's not inherently bad, but it's important to read it with that lens firmly in place. The report makes sweeping predictions about the future of software engineering while drawing almost exclusively from Anthropic's own internal research and a curated set of customer case studies. For a trends report claiming to describe industry-wide shifts, that's a significant credibility gap.</w:t>
      </w:r>
    </w:p>
    <w:p w14:paraId="6576264B" w14:textId="77777777" w:rsidR="00C94835" w:rsidRPr="00C94835" w:rsidRDefault="006F0CAB" w:rsidP="00C94835">
      <w:pPr>
        <w:spacing w:after="0" w:line="240" w:lineRule="auto"/>
        <w:rPr>
          <w:rFonts w:ascii="Segoe UI" w:eastAsia="Times New Roman" w:hAnsi="Segoe UI" w:cs="Segoe UI"/>
          <w:kern w:val="0"/>
          <w:sz w:val="21"/>
          <w:szCs w:val="21"/>
          <w14:ligatures w14:val="none"/>
        </w:rPr>
      </w:pPr>
      <w:r w:rsidRPr="006F0CAB">
        <w:rPr>
          <w:rFonts w:ascii="Times New Roman" w:eastAsia="Times New Roman" w:hAnsi="Times New Roman" w:cs="Times New Roman"/>
          <w:noProof/>
          <w:kern w:val="0"/>
        </w:rPr>
        <w:pict w14:anchorId="7B8B8FF7">
          <v:rect id="_x0000_i1028" alt="" style="width:468pt;height:.05pt;mso-width-percent:0;mso-height-percent:0;mso-width-percent:0;mso-height-percent:0" o:hralign="center" o:hrstd="t" o:hr="t" fillcolor="#a0a0a0" stroked="f"/>
        </w:pict>
      </w:r>
    </w:p>
    <w:p w14:paraId="00A7F367" w14:textId="77777777" w:rsidR="00C94835" w:rsidRPr="00C94835" w:rsidRDefault="00C94835" w:rsidP="00C94835">
      <w:pPr>
        <w:spacing w:before="360" w:after="240" w:line="240" w:lineRule="auto"/>
        <w:outlineLvl w:val="1"/>
        <w:rPr>
          <w:rFonts w:ascii="Segoe UI" w:eastAsia="Times New Roman" w:hAnsi="Segoe UI" w:cs="Segoe UI"/>
          <w:b/>
          <w:bCs/>
          <w:color w:val="333333"/>
          <w:kern w:val="0"/>
          <w:sz w:val="36"/>
          <w:szCs w:val="36"/>
          <w14:ligatures w14:val="none"/>
        </w:rPr>
      </w:pPr>
      <w:r w:rsidRPr="00C94835">
        <w:rPr>
          <w:rFonts w:ascii="Segoe UI" w:eastAsia="Times New Roman" w:hAnsi="Segoe UI" w:cs="Segoe UI"/>
          <w:b/>
          <w:bCs/>
          <w:color w:val="333333"/>
          <w:kern w:val="0"/>
          <w:sz w:val="36"/>
          <w:szCs w:val="36"/>
          <w14:ligatures w14:val="none"/>
        </w:rPr>
        <w:t>Strengths Worth Acknowledging</w:t>
      </w:r>
    </w:p>
    <w:p w14:paraId="463155F6"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report does get some things right. The framing of the "collaboration paradox" — where engineers use AI in ~60% of their work but can only "fully delegate" 0–20% of tasks — is the most intellectually honest and useful insight in the entire document. It correctly identifies that AI is a </w:t>
      </w:r>
      <w:r w:rsidRPr="00C94835">
        <w:rPr>
          <w:rFonts w:ascii="Segoe UI" w:eastAsia="Times New Roman" w:hAnsi="Segoe UI" w:cs="Segoe UI"/>
          <w:i/>
          <w:iCs/>
          <w:color w:val="333333"/>
          <w:kern w:val="0"/>
          <w:sz w:val="21"/>
          <w:szCs w:val="21"/>
          <w14:ligatures w14:val="none"/>
        </w:rPr>
        <w:t>collaborator</w:t>
      </w:r>
      <w:r w:rsidRPr="00C94835">
        <w:rPr>
          <w:rFonts w:ascii="Segoe UI" w:eastAsia="Times New Roman" w:hAnsi="Segoe UI" w:cs="Segoe UI"/>
          <w:color w:val="333333"/>
          <w:kern w:val="0"/>
          <w:sz w:val="21"/>
          <w:szCs w:val="21"/>
          <w14:ligatures w14:val="none"/>
        </w:rPr>
        <w:t>, not a replacement, and that effective use requires active human judgment, prompting discipline, and validation. This nuance is often lost in hype-driven narratives, and the report deserves credit for surfacing it prominently.</w:t>
      </w:r>
    </w:p>
    <w:p w14:paraId="6DBBAA43"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observation that engineers are becoming more "full-stack" through AI assistance — able to work across frontend, backend, databases, and infrastructure — also rings true from practical experience. AI genuinely does fill knowledge gaps in adjacent domains, and this has real implications for how teams are structured and how work gets allocated.</w:t>
      </w:r>
    </w:p>
    <w:p w14:paraId="537FC739" w14:textId="77777777" w:rsidR="00C94835" w:rsidRPr="00C94835" w:rsidRDefault="006F0CAB" w:rsidP="00C94835">
      <w:pPr>
        <w:spacing w:after="0" w:line="240" w:lineRule="auto"/>
        <w:rPr>
          <w:rFonts w:ascii="Segoe UI" w:eastAsia="Times New Roman" w:hAnsi="Segoe UI" w:cs="Segoe UI"/>
          <w:kern w:val="0"/>
          <w:sz w:val="21"/>
          <w:szCs w:val="21"/>
          <w14:ligatures w14:val="none"/>
        </w:rPr>
      </w:pPr>
      <w:r w:rsidRPr="006F0CAB">
        <w:rPr>
          <w:rFonts w:ascii="Times New Roman" w:eastAsia="Times New Roman" w:hAnsi="Times New Roman" w:cs="Times New Roman"/>
          <w:noProof/>
          <w:kern w:val="0"/>
        </w:rPr>
        <w:pict w14:anchorId="7414324C">
          <v:rect id="_x0000_i1027" alt="" style="width:468pt;height:.05pt;mso-width-percent:0;mso-height-percent:0;mso-width-percent:0;mso-height-percent:0" o:hralign="center" o:hrstd="t" o:hr="t" fillcolor="#a0a0a0" stroked="f"/>
        </w:pict>
      </w:r>
    </w:p>
    <w:p w14:paraId="680AAB59" w14:textId="77777777" w:rsidR="00C94835" w:rsidRPr="00C94835" w:rsidRDefault="00C94835" w:rsidP="00C94835">
      <w:pPr>
        <w:spacing w:before="360" w:after="240" w:line="240" w:lineRule="auto"/>
        <w:outlineLvl w:val="1"/>
        <w:rPr>
          <w:rFonts w:ascii="Segoe UI" w:eastAsia="Times New Roman" w:hAnsi="Segoe UI" w:cs="Segoe UI"/>
          <w:b/>
          <w:bCs/>
          <w:color w:val="333333"/>
          <w:kern w:val="0"/>
          <w:sz w:val="36"/>
          <w:szCs w:val="36"/>
          <w14:ligatures w14:val="none"/>
        </w:rPr>
      </w:pPr>
      <w:r w:rsidRPr="00C94835">
        <w:rPr>
          <w:rFonts w:ascii="Segoe UI" w:eastAsia="Times New Roman" w:hAnsi="Segoe UI" w:cs="Segoe UI"/>
          <w:b/>
          <w:bCs/>
          <w:color w:val="333333"/>
          <w:kern w:val="0"/>
          <w:sz w:val="36"/>
          <w:szCs w:val="36"/>
          <w14:ligatures w14:val="none"/>
        </w:rPr>
        <w:t>Critical Issues</w:t>
      </w:r>
    </w:p>
    <w:p w14:paraId="7C5C66C5"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1. The evidence base is almost entirely self-referential.</w:t>
      </w:r>
    </w:p>
    <w:p w14:paraId="7FDF93EA"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Every case study in this report — Fountain, Rakuten, CRED, TELUS, Zapier, Legora, Augment Code — is a Claude customer. There is no independent validation, no comparison against competing tools (GitHub Copilot, Cursor, Gemini Code Assist), and no acknowledgment that these results might not generalize. The Augment Code example claiming a 4–8 month project completed in two weeks is extraordinary, and extraordinary claims require extraordinary evidence. A single anecdote from a vendor's customer is not that evidence.</w:t>
      </w:r>
    </w:p>
    <w:p w14:paraId="3F3A7E0E"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As an SDE reviewing this for technical decision-making, I would want to see: controlled comparisons, methodology descriptions, sample sizes, and ideally third-party replication. None of that exists here.</w:t>
      </w:r>
    </w:p>
    <w:p w14:paraId="4202B747"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2. The productivity claims lack rigor.</w:t>
      </w:r>
    </w:p>
    <w:p w14:paraId="7D3DF09C"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lastRenderedPageBreak/>
        <w:t>The report states that TELUS "saved over 500,000 hours with an average of 40 minutes saved per AI interaction." This sounds impressive until you ask: saved compared to what baseline? Over what time period? Across how many engineers? What was the task distribution? These numbers are presented as facts but are almost certainly self-reported metrics from a customer success engagement — not independently audited data.</w:t>
      </w:r>
    </w:p>
    <w:p w14:paraId="4C449E5C"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Similarly, the claim that "27% of AI-assisted work consists of tasks that wouldn't have been done otherwise" is interesting but unverifiable as presented. This is the kind of stat that needs a clear methodology section, not a parenthetical mention.</w:t>
      </w:r>
    </w:p>
    <w:p w14:paraId="7F7C1BD7"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3. The security trend (Trend 8) is dangerously shallow.</w:t>
      </w:r>
    </w:p>
    <w:p w14:paraId="574500F0"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For a report aimed at engineering leaders, the security section is the weakest by far. It acknowledges the dual-use risk — that the same agents that help defenders also help attackers — but then essentially says "teams that bake security in from the start will be better positioned." That's not analysis; that's a platitude. There is no discussion of:</w:t>
      </w:r>
    </w:p>
    <w:p w14:paraId="0D41DE5E" w14:textId="77777777" w:rsidR="00C94835" w:rsidRPr="00C94835" w:rsidRDefault="00C94835" w:rsidP="00C94835">
      <w:pPr>
        <w:numPr>
          <w:ilvl w:val="0"/>
          <w:numId w:val="1"/>
        </w:numPr>
        <w:spacing w:before="100" w:beforeAutospacing="1" w:after="100" w:afterAutospacing="1"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How agentic systems expand the attack surface (e.g., prompt injection into long-running agents, supply chain risks in agent-generated code)</w:t>
      </w:r>
    </w:p>
    <w:p w14:paraId="32FC7432" w14:textId="77777777" w:rsidR="00C94835" w:rsidRPr="00C94835" w:rsidRDefault="00C94835" w:rsidP="00C94835">
      <w:pPr>
        <w:numPr>
          <w:ilvl w:val="0"/>
          <w:numId w:val="1"/>
        </w:numPr>
        <w:spacing w:before="100" w:beforeAutospacing="1" w:after="100" w:afterAutospacing="1"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specific threat models that emerge when agents have write access to production systems</w:t>
      </w:r>
    </w:p>
    <w:p w14:paraId="1A0276E9" w14:textId="77777777" w:rsidR="00C94835" w:rsidRPr="00C94835" w:rsidRDefault="00C94835" w:rsidP="00C94835">
      <w:pPr>
        <w:numPr>
          <w:ilvl w:val="0"/>
          <w:numId w:val="1"/>
        </w:numPr>
        <w:spacing w:before="100" w:beforeAutospacing="1" w:after="100" w:afterAutospacing="1"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How organizations should think about blast radius containment when an agent makes a bad decision autonomously over hours or days</w:t>
      </w:r>
    </w:p>
    <w:p w14:paraId="6B988CD4" w14:textId="77777777" w:rsidR="00C94835" w:rsidRPr="00C94835" w:rsidRDefault="00C94835" w:rsidP="00C94835">
      <w:pPr>
        <w:numPr>
          <w:ilvl w:val="0"/>
          <w:numId w:val="1"/>
        </w:numPr>
        <w:spacing w:before="100" w:beforeAutospacing="1" w:after="100" w:afterAutospacing="1"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regulatory and compliance implications of AI-generated code in regulated industries</w:t>
      </w:r>
    </w:p>
    <w:p w14:paraId="565F8618"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Given that the report itself predicts agents will work autonomously for </w:t>
      </w:r>
      <w:r w:rsidRPr="00C94835">
        <w:rPr>
          <w:rFonts w:ascii="Segoe UI" w:eastAsia="Times New Roman" w:hAnsi="Segoe UI" w:cs="Segoe UI"/>
          <w:i/>
          <w:iCs/>
          <w:color w:val="333333"/>
          <w:kern w:val="0"/>
          <w:sz w:val="21"/>
          <w:szCs w:val="21"/>
          <w14:ligatures w14:val="none"/>
        </w:rPr>
        <w:t>days</w:t>
      </w:r>
      <w:r w:rsidRPr="00C94835">
        <w:rPr>
          <w:rFonts w:ascii="Segoe UI" w:eastAsia="Times New Roman" w:hAnsi="Segoe UI" w:cs="Segoe UI"/>
          <w:color w:val="333333"/>
          <w:kern w:val="0"/>
          <w:sz w:val="21"/>
          <w:szCs w:val="21"/>
          <w14:ligatures w14:val="none"/>
        </w:rPr>
        <w:t> with "minimal human intervention," the security section needed to be three times longer and far more concrete.</w:t>
      </w:r>
    </w:p>
    <w:p w14:paraId="29A821E8"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4. The "onboarding revolution" prediction is overstated.</w:t>
      </w:r>
    </w:p>
    <w:p w14:paraId="32299D4B"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claim that onboarding timelines will "collapse from weeks to hours" is one of the bolder predictions in the report, and it conflates two very different things: </w:t>
      </w:r>
      <w:r w:rsidRPr="00C94835">
        <w:rPr>
          <w:rFonts w:ascii="Segoe UI" w:eastAsia="Times New Roman" w:hAnsi="Segoe UI" w:cs="Segoe UI"/>
          <w:i/>
          <w:iCs/>
          <w:color w:val="333333"/>
          <w:kern w:val="0"/>
          <w:sz w:val="21"/>
          <w:szCs w:val="21"/>
          <w14:ligatures w14:val="none"/>
        </w:rPr>
        <w:t>understanding a codebase</w:t>
      </w:r>
      <w:r w:rsidRPr="00C94835">
        <w:rPr>
          <w:rFonts w:ascii="Segoe UI" w:eastAsia="Times New Roman" w:hAnsi="Segoe UI" w:cs="Segoe UI"/>
          <w:color w:val="333333"/>
          <w:kern w:val="0"/>
          <w:sz w:val="21"/>
          <w:szCs w:val="21"/>
          <w14:ligatures w14:val="none"/>
        </w:rPr>
        <w:t> and </w:t>
      </w:r>
      <w:r w:rsidRPr="00C94835">
        <w:rPr>
          <w:rFonts w:ascii="Segoe UI" w:eastAsia="Times New Roman" w:hAnsi="Segoe UI" w:cs="Segoe UI"/>
          <w:i/>
          <w:iCs/>
          <w:color w:val="333333"/>
          <w:kern w:val="0"/>
          <w:sz w:val="21"/>
          <w:szCs w:val="21"/>
          <w14:ligatures w14:val="none"/>
        </w:rPr>
        <w:t>being productive in it</w:t>
      </w:r>
      <w:r w:rsidRPr="00C94835">
        <w:rPr>
          <w:rFonts w:ascii="Segoe UI" w:eastAsia="Times New Roman" w:hAnsi="Segoe UI" w:cs="Segoe UI"/>
          <w:color w:val="333333"/>
          <w:kern w:val="0"/>
          <w:sz w:val="21"/>
          <w:szCs w:val="21"/>
          <w14:ligatures w14:val="none"/>
        </w:rPr>
        <w:t>. AI can absolutely accelerate the former — helping an engineer quickly understand what a module does, trace a call stack, or find relevant tests. But the latter involves organizational context, team norms, implicit knowledge about why certain decisions were made, political dynamics, and trust-building. None of that compresses with AI. The Augment Code example is used to support this claim, but it describes a single project completion, not a systematic study of onboarding outcomes.</w:t>
      </w:r>
    </w:p>
    <w:p w14:paraId="01842230"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5. The "non-technical users building their own tools" trend is real but the risks are glossed over.</w:t>
      </w:r>
    </w:p>
    <w:p w14:paraId="45203A0B"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 xml:space="preserve">Trend 7 predicts that domain experts across sales, marketing, legal, and operations will increasingly build their own automated workflows. This is already happening and will accelerate. But the report treats this almost entirely as a positive development without seriously engaging with the risks: shadow IT proliferation, ungoverned data access, inconsistent security posture, lack of testing discipline, and the maintenance burden of tools built by people who don't think like engineers. The Zapier example — 800+ AI agents deployed internally — is presented as a success story, but any </w:t>
      </w:r>
      <w:r w:rsidRPr="00C94835">
        <w:rPr>
          <w:rFonts w:ascii="Segoe UI" w:eastAsia="Times New Roman" w:hAnsi="Segoe UI" w:cs="Segoe UI"/>
          <w:color w:val="333333"/>
          <w:kern w:val="0"/>
          <w:sz w:val="21"/>
          <w:szCs w:val="21"/>
          <w14:ligatures w14:val="none"/>
        </w:rPr>
        <w:lastRenderedPageBreak/>
        <w:t>experienced SDE would immediately ask: who owns those agents? Who maintains them? What happens when they break? What's the incident response process?</w:t>
      </w:r>
    </w:p>
    <w:p w14:paraId="005F9117"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6. The "long-running agents" trend needs more skepticism.</w:t>
      </w:r>
    </w:p>
    <w:p w14:paraId="6D4DDD2B"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The Rakuten example — Claude Code implementing an activation vector extraction method in vLLM in seven hours with 99.9% numerical accuracy — is genuinely impressive. But this was a well-scoped, technically defined task in a domain where correctness is mathematically verifiable. The report then extrapolates this to agents "building entire applications and systems" over days with "minimal human intervention." That's a significant leap. Real software development involves ambiguous requirements, shifting stakeholder priorities, integration with legacy systems, and decisions that require organizational context. The gap between "implement this specific algorithm in a large codebase" and "build this product" is enormous, and the report doesn't adequately address it.</w:t>
      </w:r>
    </w:p>
    <w:p w14:paraId="5F2AB534" w14:textId="77777777" w:rsidR="00C94835" w:rsidRPr="00C94835" w:rsidRDefault="006F0CAB" w:rsidP="00C94835">
      <w:pPr>
        <w:spacing w:after="0" w:line="240" w:lineRule="auto"/>
        <w:rPr>
          <w:rFonts w:ascii="Segoe UI" w:eastAsia="Times New Roman" w:hAnsi="Segoe UI" w:cs="Segoe UI"/>
          <w:kern w:val="0"/>
          <w:sz w:val="21"/>
          <w:szCs w:val="21"/>
          <w14:ligatures w14:val="none"/>
        </w:rPr>
      </w:pPr>
      <w:r w:rsidRPr="006F0CAB">
        <w:rPr>
          <w:rFonts w:ascii="Times New Roman" w:eastAsia="Times New Roman" w:hAnsi="Times New Roman" w:cs="Times New Roman"/>
          <w:noProof/>
          <w:kern w:val="0"/>
        </w:rPr>
        <w:pict w14:anchorId="43E6DD24">
          <v:rect id="_x0000_i1026" alt="" style="width:468pt;height:.05pt;mso-width-percent:0;mso-height-percent:0;mso-width-percent:0;mso-height-percent:0" o:hralign="center" o:hrstd="t" o:hr="t" fillcolor="#a0a0a0" stroked="f"/>
        </w:pict>
      </w:r>
    </w:p>
    <w:p w14:paraId="04767A6A" w14:textId="77777777" w:rsidR="00C94835" w:rsidRPr="00C94835" w:rsidRDefault="00C94835" w:rsidP="00C94835">
      <w:pPr>
        <w:spacing w:before="360" w:after="240" w:line="240" w:lineRule="auto"/>
        <w:outlineLvl w:val="1"/>
        <w:rPr>
          <w:rFonts w:ascii="Segoe UI" w:eastAsia="Times New Roman" w:hAnsi="Segoe UI" w:cs="Segoe UI"/>
          <w:b/>
          <w:bCs/>
          <w:color w:val="333333"/>
          <w:kern w:val="0"/>
          <w:sz w:val="36"/>
          <w:szCs w:val="36"/>
          <w14:ligatures w14:val="none"/>
        </w:rPr>
      </w:pPr>
      <w:r w:rsidRPr="00C94835">
        <w:rPr>
          <w:rFonts w:ascii="Segoe UI" w:eastAsia="Times New Roman" w:hAnsi="Segoe UI" w:cs="Segoe UI"/>
          <w:b/>
          <w:bCs/>
          <w:color w:val="333333"/>
          <w:kern w:val="0"/>
          <w:sz w:val="36"/>
          <w:szCs w:val="36"/>
          <w14:ligatures w14:val="none"/>
        </w:rPr>
        <w:t>What's Missing</w:t>
      </w:r>
    </w:p>
    <w:p w14:paraId="5042E4E9"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Several important topics are either absent or severely underweighted:</w:t>
      </w:r>
    </w:p>
    <w:p w14:paraId="3154A586"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Testing and quality assurance at scale.</w:t>
      </w:r>
      <w:r w:rsidRPr="00C94835">
        <w:rPr>
          <w:rFonts w:ascii="Segoe UI" w:eastAsia="Times New Roman" w:hAnsi="Segoe UI" w:cs="Segoe UI"/>
          <w:color w:val="333333"/>
          <w:kern w:val="0"/>
          <w:sz w:val="21"/>
          <w:szCs w:val="21"/>
          <w14:ligatures w14:val="none"/>
        </w:rPr>
        <w:t> If agents are generating large volumes of code, the testing burden shifts dramatically. The report mentions "automated testing" in passing but doesn't engage with the hard questions: How do you maintain test coverage quality when tests are also AI-generated? How do you detect when an agent has introduced subtle logic errors that pass tests but fail in production?</w:t>
      </w:r>
    </w:p>
    <w:p w14:paraId="175EC838"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Technical debt from AI-generated code.</w:t>
      </w:r>
      <w:r w:rsidRPr="00C94835">
        <w:rPr>
          <w:rFonts w:ascii="Segoe UI" w:eastAsia="Times New Roman" w:hAnsi="Segoe UI" w:cs="Segoe UI"/>
          <w:color w:val="333333"/>
          <w:kern w:val="0"/>
          <w:sz w:val="21"/>
          <w:szCs w:val="21"/>
          <w14:ligatures w14:val="none"/>
        </w:rPr>
        <w:t> The report claims agents will </w:t>
      </w:r>
      <w:r w:rsidRPr="00C94835">
        <w:rPr>
          <w:rFonts w:ascii="Segoe UI" w:eastAsia="Times New Roman" w:hAnsi="Segoe UI" w:cs="Segoe UI"/>
          <w:i/>
          <w:iCs/>
          <w:color w:val="333333"/>
          <w:kern w:val="0"/>
          <w:sz w:val="21"/>
          <w:szCs w:val="21"/>
          <w14:ligatures w14:val="none"/>
        </w:rPr>
        <w:t>eliminate</w:t>
      </w:r>
      <w:r w:rsidRPr="00C94835">
        <w:rPr>
          <w:rFonts w:ascii="Segoe UI" w:eastAsia="Times New Roman" w:hAnsi="Segoe UI" w:cs="Segoe UI"/>
          <w:color w:val="333333"/>
          <w:kern w:val="0"/>
          <w:sz w:val="21"/>
          <w:szCs w:val="21"/>
          <w14:ligatures w14:val="none"/>
        </w:rPr>
        <w:t> technical debt, but there's a real risk they'll </w:t>
      </w:r>
      <w:r w:rsidRPr="00C94835">
        <w:rPr>
          <w:rFonts w:ascii="Segoe UI" w:eastAsia="Times New Roman" w:hAnsi="Segoe UI" w:cs="Segoe UI"/>
          <w:i/>
          <w:iCs/>
          <w:color w:val="333333"/>
          <w:kern w:val="0"/>
          <w:sz w:val="21"/>
          <w:szCs w:val="21"/>
          <w14:ligatures w14:val="none"/>
        </w:rPr>
        <w:t>accelerate</w:t>
      </w:r>
      <w:r w:rsidRPr="00C94835">
        <w:rPr>
          <w:rFonts w:ascii="Segoe UI" w:eastAsia="Times New Roman" w:hAnsi="Segoe UI" w:cs="Segoe UI"/>
          <w:color w:val="333333"/>
          <w:kern w:val="0"/>
          <w:sz w:val="21"/>
          <w:szCs w:val="21"/>
          <w14:ligatures w14:val="none"/>
        </w:rPr>
        <w:t> its accumulation. AI-generated code tends to be verbose, sometimes inconsistent in style, and occasionally introduces patterns that are locally correct but globally problematic. Without strong architectural guardrails and review discipline, organizations could find themselves with codebases that are harder to maintain, not easier.</w:t>
      </w:r>
    </w:p>
    <w:p w14:paraId="2A33CB36"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The skills atrophy problem.</w:t>
      </w:r>
      <w:r w:rsidRPr="00C94835">
        <w:rPr>
          <w:rFonts w:ascii="Segoe UI" w:eastAsia="Times New Roman" w:hAnsi="Segoe UI" w:cs="Segoe UI"/>
          <w:color w:val="333333"/>
          <w:kern w:val="0"/>
          <w:sz w:val="21"/>
          <w:szCs w:val="21"/>
          <w14:ligatures w14:val="none"/>
        </w:rPr>
        <w:t> The report briefly quotes an engineer saying "I developed that ability by doing software engineering 'the hard way.'" This is a critical observation that deserves much more attention. If junior engineers increasingly rely on AI for implementation, how do they develop the deep intuitions needed to evaluate AI output, catch subtle bugs, or make sound architectural decisions? The report assumes a steady supply of engineers with strong foundational skills to provide oversight — but doesn't address how those skills get developed in an AI-first world.</w:t>
      </w:r>
    </w:p>
    <w:p w14:paraId="2007994E"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b/>
          <w:bCs/>
          <w:color w:val="333333"/>
          <w:kern w:val="0"/>
          <w:sz w:val="21"/>
          <w:szCs w:val="21"/>
          <w14:ligatures w14:val="none"/>
        </w:rPr>
        <w:t>Organizational change management.</w:t>
      </w:r>
      <w:r w:rsidRPr="00C94835">
        <w:rPr>
          <w:rFonts w:ascii="Segoe UI" w:eastAsia="Times New Roman" w:hAnsi="Segoe UI" w:cs="Segoe UI"/>
          <w:color w:val="333333"/>
          <w:kern w:val="0"/>
          <w:sz w:val="21"/>
          <w:szCs w:val="21"/>
          <w14:ligatures w14:val="none"/>
        </w:rPr>
        <w:t> Predicting that "dynamic surge staffing" will become normal is easy. Describing how organizations actually navigate the transition — the resistance, the retraining, the process redesign, the cultural shifts — is hard. The report skips the hard part entirely.</w:t>
      </w:r>
    </w:p>
    <w:p w14:paraId="5E911223" w14:textId="77777777" w:rsidR="00C94835" w:rsidRPr="00C94835" w:rsidRDefault="006F0CAB" w:rsidP="00C94835">
      <w:pPr>
        <w:spacing w:after="0" w:line="240" w:lineRule="auto"/>
        <w:rPr>
          <w:rFonts w:ascii="Segoe UI" w:eastAsia="Times New Roman" w:hAnsi="Segoe UI" w:cs="Segoe UI"/>
          <w:kern w:val="0"/>
          <w:sz w:val="21"/>
          <w:szCs w:val="21"/>
          <w14:ligatures w14:val="none"/>
        </w:rPr>
      </w:pPr>
      <w:r w:rsidRPr="006F0CAB">
        <w:rPr>
          <w:rFonts w:ascii="Times New Roman" w:eastAsia="Times New Roman" w:hAnsi="Times New Roman" w:cs="Times New Roman"/>
          <w:noProof/>
          <w:kern w:val="0"/>
        </w:rPr>
        <w:pict w14:anchorId="383F7348">
          <v:rect id="_x0000_i1025" alt="" style="width:468pt;height:.05pt;mso-width-percent:0;mso-height-percent:0;mso-width-percent:0;mso-height-percent:0" o:hralign="center" o:hrstd="t" o:hr="t" fillcolor="#a0a0a0" stroked="f"/>
        </w:pict>
      </w:r>
    </w:p>
    <w:p w14:paraId="7E71A985" w14:textId="77777777" w:rsidR="00C94835" w:rsidRPr="00C94835" w:rsidRDefault="00C94835" w:rsidP="00C94835">
      <w:pPr>
        <w:spacing w:before="360" w:after="240" w:line="240" w:lineRule="auto"/>
        <w:outlineLvl w:val="1"/>
        <w:rPr>
          <w:rFonts w:ascii="Segoe UI" w:eastAsia="Times New Roman" w:hAnsi="Segoe UI" w:cs="Segoe UI"/>
          <w:b/>
          <w:bCs/>
          <w:color w:val="333333"/>
          <w:kern w:val="0"/>
          <w:sz w:val="36"/>
          <w:szCs w:val="36"/>
          <w14:ligatures w14:val="none"/>
        </w:rPr>
      </w:pPr>
      <w:r w:rsidRPr="00C94835">
        <w:rPr>
          <w:rFonts w:ascii="Segoe UI" w:eastAsia="Times New Roman" w:hAnsi="Segoe UI" w:cs="Segoe UI"/>
          <w:b/>
          <w:bCs/>
          <w:color w:val="333333"/>
          <w:kern w:val="0"/>
          <w:sz w:val="36"/>
          <w:szCs w:val="36"/>
          <w14:ligatures w14:val="none"/>
        </w:rPr>
        <w:lastRenderedPageBreak/>
        <w:t>Bottom Line</w:t>
      </w:r>
    </w:p>
    <w:p w14:paraId="6981473A" w14:textId="77777777" w:rsidR="00C94835" w:rsidRPr="00C94835" w:rsidRDefault="00C94835" w:rsidP="00C94835">
      <w:pPr>
        <w:spacing w:after="240" w:line="240" w:lineRule="auto"/>
        <w:rPr>
          <w:rFonts w:ascii="Segoe UI" w:eastAsia="Times New Roman" w:hAnsi="Segoe UI" w:cs="Segoe UI"/>
          <w:color w:val="333333"/>
          <w:kern w:val="0"/>
          <w:sz w:val="21"/>
          <w:szCs w:val="21"/>
          <w14:ligatures w14:val="none"/>
        </w:rPr>
      </w:pPr>
      <w:r w:rsidRPr="00C94835">
        <w:rPr>
          <w:rFonts w:ascii="Segoe UI" w:eastAsia="Times New Roman" w:hAnsi="Segoe UI" w:cs="Segoe UI"/>
          <w:color w:val="333333"/>
          <w:kern w:val="0"/>
          <w:sz w:val="21"/>
          <w:szCs w:val="21"/>
          <w14:ligatures w14:val="none"/>
        </w:rPr>
        <w:t>This is a useful document for getting a high-level orientation to where agentic coding is heading, and the "collaboration paradox" framing is genuinely valuable. But it should be read as a vendor-produced thought leadership piece, not as an independent industry analysis. The predictions are plausible but not rigorously supported. The risks are acknowledged but not seriously analyzed. And the security section, in particular, is inadequate for the stakes involved.</w:t>
      </w:r>
    </w:p>
    <w:p w14:paraId="5D30FBF0" w14:textId="0157E579" w:rsidR="00FE2B0F" w:rsidRPr="00C94835" w:rsidRDefault="00FE2B0F" w:rsidP="00C94835"/>
    <w:sectPr w:rsidR="00FE2B0F" w:rsidRPr="00C94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D14F1"/>
    <w:multiLevelType w:val="multilevel"/>
    <w:tmpl w:val="5C0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19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35"/>
    <w:rsid w:val="001357B3"/>
    <w:rsid w:val="002754AC"/>
    <w:rsid w:val="003A11C8"/>
    <w:rsid w:val="004835DC"/>
    <w:rsid w:val="006F0CAB"/>
    <w:rsid w:val="009A5AED"/>
    <w:rsid w:val="00A02F73"/>
    <w:rsid w:val="00B04424"/>
    <w:rsid w:val="00C94835"/>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DEAA"/>
  <w15:chartTrackingRefBased/>
  <w15:docId w15:val="{7F25C5E1-6C67-444B-9075-B1105301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4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4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835"/>
    <w:rPr>
      <w:rFonts w:eastAsiaTheme="majorEastAsia" w:cstheme="majorBidi"/>
      <w:color w:val="272727" w:themeColor="text1" w:themeTint="D8"/>
    </w:rPr>
  </w:style>
  <w:style w:type="paragraph" w:styleId="Title">
    <w:name w:val="Title"/>
    <w:basedOn w:val="Normal"/>
    <w:next w:val="Normal"/>
    <w:link w:val="TitleChar"/>
    <w:uiPriority w:val="10"/>
    <w:qFormat/>
    <w:rsid w:val="00C9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835"/>
    <w:pPr>
      <w:spacing w:before="160"/>
      <w:jc w:val="center"/>
    </w:pPr>
    <w:rPr>
      <w:i/>
      <w:iCs/>
      <w:color w:val="404040" w:themeColor="text1" w:themeTint="BF"/>
    </w:rPr>
  </w:style>
  <w:style w:type="character" w:customStyle="1" w:styleId="QuoteChar">
    <w:name w:val="Quote Char"/>
    <w:basedOn w:val="DefaultParagraphFont"/>
    <w:link w:val="Quote"/>
    <w:uiPriority w:val="29"/>
    <w:rsid w:val="00C94835"/>
    <w:rPr>
      <w:i/>
      <w:iCs/>
      <w:color w:val="404040" w:themeColor="text1" w:themeTint="BF"/>
    </w:rPr>
  </w:style>
  <w:style w:type="paragraph" w:styleId="ListParagraph">
    <w:name w:val="List Paragraph"/>
    <w:basedOn w:val="Normal"/>
    <w:uiPriority w:val="34"/>
    <w:qFormat/>
    <w:rsid w:val="00C94835"/>
    <w:pPr>
      <w:ind w:left="720"/>
      <w:contextualSpacing/>
    </w:pPr>
  </w:style>
  <w:style w:type="character" w:styleId="IntenseEmphasis">
    <w:name w:val="Intense Emphasis"/>
    <w:basedOn w:val="DefaultParagraphFont"/>
    <w:uiPriority w:val="21"/>
    <w:qFormat/>
    <w:rsid w:val="00C94835"/>
    <w:rPr>
      <w:i/>
      <w:iCs/>
      <w:color w:val="2F5496" w:themeColor="accent1" w:themeShade="BF"/>
    </w:rPr>
  </w:style>
  <w:style w:type="paragraph" w:styleId="IntenseQuote">
    <w:name w:val="Intense Quote"/>
    <w:basedOn w:val="Normal"/>
    <w:next w:val="Normal"/>
    <w:link w:val="IntenseQuoteChar"/>
    <w:uiPriority w:val="30"/>
    <w:qFormat/>
    <w:rsid w:val="00C94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835"/>
    <w:rPr>
      <w:i/>
      <w:iCs/>
      <w:color w:val="2F5496" w:themeColor="accent1" w:themeShade="BF"/>
    </w:rPr>
  </w:style>
  <w:style w:type="character" w:styleId="IntenseReference">
    <w:name w:val="Intense Reference"/>
    <w:basedOn w:val="DefaultParagraphFont"/>
    <w:uiPriority w:val="32"/>
    <w:qFormat/>
    <w:rsid w:val="00C94835"/>
    <w:rPr>
      <w:b/>
      <w:bCs/>
      <w:smallCaps/>
      <w:color w:val="2F5496" w:themeColor="accent1" w:themeShade="BF"/>
      <w:spacing w:val="5"/>
    </w:rPr>
  </w:style>
  <w:style w:type="paragraph" w:customStyle="1" w:styleId="code-line">
    <w:name w:val="code-line"/>
    <w:basedOn w:val="Normal"/>
    <w:rsid w:val="00C948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4835"/>
    <w:rPr>
      <w:i/>
      <w:iCs/>
    </w:rPr>
  </w:style>
  <w:style w:type="character" w:styleId="Strong">
    <w:name w:val="Strong"/>
    <w:basedOn w:val="DefaultParagraphFont"/>
    <w:uiPriority w:val="22"/>
    <w:qFormat/>
    <w:rsid w:val="00C948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1310</Words>
  <Characters>7467</Characters>
  <Application>Microsoft Office Word</Application>
  <DocSecurity>0</DocSecurity>
  <Lines>62</Lines>
  <Paragraphs>17</Paragraphs>
  <ScaleCrop>false</ScaleCrop>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2026-02-25T00:37:00Z</dcterms:created>
  <dcterms:modified xsi:type="dcterms:W3CDTF">2026-02-25T00:38:00Z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2026-02-25T00:38:47Z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7b155a84-91b5-40bc-afdf-2248643c90b1</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