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Probe Fixture Heading</w:t>
      </w:r>
    </w:p>
    <w:p>
      <w:r>
        <w:t xml:space="preserve">Plain words come first in this paragraph, then </w:t>
      </w:r>
      <w:r>
        <w:rPr>
          <w:b/>
          <w:bCs/>
        </w:rPr>
        <w:t xml:space="preserve">a bold phrase</w:t>
      </w:r>
      <w:r>
        <w:t xml:space="preserve"> sits in the middle, then </w:t>
      </w:r>
      <w:r>
        <w:rPr>
          <w:i/>
          <w:iCs/>
        </w:rPr>
        <w:t xml:space="preserve">an italic phrase</w:t>
      </w:r>
      <w:r>
        <w:t xml:space="preserve"> follows, and plain words again carry the sentence long enough to wrap onto a second line on the device.</w:t>
      </w:r>
    </w:p>
    <w:p>
      <w:r>
        <w:t xml:space="preserve">The second paragraph is plain text for the bold test. Pick one word here and make it bold</w:t>
      </w:r>
      <w:r>
        <w:rPr>
          <w:rStyle w:val="FootnoteReference"/>
        </w:rPr>
        <w:footnoteReference w:id="1"/>
      </w:r>
      <w:r>
        <w:t xml:space="preserve">, then check that the footnote marker stays where it was.</w:t>
      </w:r>
    </w:p>
    <w:p>
      <w:r>
        <w:t xml:space="preserve">A third paragraph mixes </w:t>
      </w:r>
      <w:r>
        <w:rPr>
          <w:b/>
          <w:bCs/>
        </w:rPr>
        <w:t xml:space="preserve">bold and </w:t>
      </w:r>
      <w:r>
        <w:rPr>
          <w:b/>
          <w:bCs/>
          <w:i/>
          <w:iCs/>
        </w:rPr>
        <w:t xml:space="preserve">bold italic</w:t>
      </w:r>
      <w:r>
        <w:t xml:space="preserve"> so a highlight can cross three differently formatted runs at once.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bCs/>
              </w:rPr>
              <w:t xml:space="preserve">Column one</w:t>
            </w:r>
          </w:p>
        </w:tc>
        <w:tc>
          <w:tcPr>
            <w:tcW w:type="dxa" w:w="4680"/>
          </w:tcPr>
          <w:p>
            <w:r>
              <w:rPr>
                <w:b/>
                <w:bCs/>
              </w:rPr>
              <w:t xml:space="preserve">Column two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Table text the probe must not touch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More untouched table text</w:t>
            </w:r>
          </w:p>
        </w:tc>
      </w:tr>
    </w:tbl>
    <w:p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Last paragraph, after the table and the image.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This footnote must survive every edit the probe makes.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b5f920abf257694135882c8de02fcbbd2260eb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2026-09-26T20:47:22.331Z</dcterms:created>
  <dcterms:modified xsi:type="dcterms:W3CDTF">2026-09-26T20:47:22.331Z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