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60" w:line="384" w:lineRule="auto"/>
        <w:jc w:val="center"/>
      </w:pPr>
      <w:r>
        <w:rPr>
          <w:rFonts w:ascii="Arial" w:hAnsi="Arial" w:eastAsia="黑体"/>
          <w:b/>
          <w:color w:val="142850"/>
          <w:sz w:val="31"/>
        </w:rPr>
        <w:t>第四阶段：立体人物群像谱系、关系裂变、“先留白后高光”舍得法则与一人一档把控标准</w:t>
      </w:r>
    </w:p>
    <w:p>
      <w:pPr>
        <w:spacing w:before="0" w:after="280" w:line="384" w:lineRule="auto"/>
        <w:jc w:val="center"/>
      </w:pPr>
      <w:r>
        <w:rPr>
          <w:rFonts w:ascii="Times New Roman" w:hAnsi="Times New Roman" w:eastAsia="宋体"/>
          <w:b w:val="0"/>
          <w:color w:val="5A5A5A"/>
          <w:sz w:val="19"/>
        </w:rPr>
        <w:t>（影视剧从 0 到 1 全流程正向开发标准母版｜第四环：构建主角内部撕扯、双生镜像、配角舍得法则、视觉硬锁与100%剧本原字金句）</w:t>
      </w:r>
    </w:p>
    <w:p>
      <w:pPr>
        <w:spacing w:before="200" w:after="80" w:line="384" w:lineRule="auto"/>
        <w:jc w:val="left"/>
      </w:pPr>
      <w:r>
        <w:rPr>
          <w:rFonts w:ascii="Arial" w:hAnsi="Arial" w:eastAsia="黑体"/>
          <w:b/>
          <w:color w:val="192D55"/>
          <w:sz w:val="25"/>
        </w:rPr>
        <w:t>第一章　主角力场与切入视角：如何通过“人物关系裂变”制造强叙事驱动？</w:t>
      </w:r>
    </w:p>
    <w:p>
      <w:pPr>
        <w:spacing w:before="40" w:after="100" w:line="384" w:lineRule="auto"/>
        <w:ind w:firstLine="420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【Stage 3 ➔ Stage 4 推导逻辑】：世界观规则必须通过具体的人来引爆。在设计主角体系时，必须摒弃扁平的“完美英雄”，通过以下三大机制制造持续裂变的人物关系力场：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  <w:cantSplit/>
        </w:trPr>
        <w:tc>
          <w:tcPr>
            <w:tcW w:type="dxa" w:w="3096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主角建模机制</w:t>
            </w:r>
          </w:p>
        </w:tc>
        <w:tc>
          <w:tcPr>
            <w:tcW w:type="dxa" w:w="7272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正向设计标准与把控要点</w:t>
            </w:r>
          </w:p>
        </w:tc>
      </w:tr>
      <w:tr>
        <w:tc>
          <w:tcPr>
            <w:tcW w:type="dxa" w:w="309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1. 切入视角选择：</w:t>
              <w:br/>
              <w:t>从离现实痛感最近的“正义的反派/夹心层”切入</w:t>
            </w:r>
          </w:p>
        </w:tc>
        <w:tc>
          <w:tcPr>
            <w:tcW w:type="dxa" w:w="727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在多视角或多阶段主角团中，优先选择离现实焦虑最近、身上带着明显世故缺点与执念的角色作为第一切入视角——他在前期可以是一个“正义的反派”（出发点是拯救所爱之人，手段却是霸道功利的操控），在与纯粹初心者的碰撞及苦难淬炼中，其功利外壳被一层层剥落，弧光最为动人。</w:t>
            </w:r>
          </w:p>
        </w:tc>
      </w:tr>
      <w:tr>
        <w:tc>
          <w:tcPr>
            <w:tcW w:type="dxa" w:w="309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2. 内部三角死锁与关系三阶裂变</w:t>
            </w:r>
          </w:p>
        </w:tc>
        <w:tc>
          <w:tcPr>
            <w:tcW w:type="dxa" w:w="727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将核心主角团置于天然互斥的三角力场中（如“莽撞守信的原生态自我 ⇄ 功利焦虑的破局者自我 ⇄ 看透名利怀悲悯兜底的守望者自我”），使其关系经历【第一阶段：互相嫌弃与争夺控制权 ➔ 第二阶段：底牌掀开后的正面宣战 ➔ 第三阶段：绝境苦难中的生死托付、背靠背并肩作战】的三阶裂变。</w:t>
            </w:r>
          </w:p>
        </w:tc>
      </w:tr>
      <w:tr>
        <w:tc>
          <w:tcPr>
            <w:tcW w:type="dxa" w:w="309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3. 男女主双生镜像对照结构</w:t>
            </w:r>
          </w:p>
        </w:tc>
        <w:tc>
          <w:tcPr>
            <w:tcW w:type="dxa" w:w="727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拒绝让女性角色沦为等待被拯救的战利品！必须平行构建女性自我的成长与救赎镜像（如“充满能量、给人灯泡灵感的明媚少女 ⇄ 外表32度冷漠、内心依然滚烫的成年女性”），让少女的通透纯粹反向点醒成年女性的怨怼执念，实现双向自我救赎。</w:t>
            </w:r>
          </w:p>
        </w:tc>
      </w:tr>
    </w:tbl>
    <w:p>
      <w:pPr>
        <w:spacing w:before="200" w:after="80" w:line="384" w:lineRule="auto"/>
        <w:jc w:val="left"/>
      </w:pPr>
      <w:r>
        <w:rPr>
          <w:rFonts w:ascii="Arial" w:hAnsi="Arial" w:eastAsia="黑体"/>
          <w:b/>
          <w:color w:val="192D55"/>
          <w:sz w:val="25"/>
        </w:rPr>
        <w:t>第二章　配角群像把控：导演级「人物舍与得（先留白、后高光）」塑造法则</w:t>
      </w:r>
    </w:p>
    <w:p>
      <w:pPr>
        <w:spacing w:before="40" w:after="100" w:line="384" w:lineRule="auto"/>
        <w:ind w:firstLine="420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在有限的剧集体量内，如何做到既不让配角抢走主线节奏，又能让每一个配角都血肉丰满、没有一个多余工具人？核心在于严格执行【先留白（舍）、后高光（得）】法则：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/>
          <w:cantSplit/>
        </w:trPr>
        <w:tc>
          <w:tcPr>
            <w:tcW w:type="dxa" w:w="2592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配角塑造阶段</w:t>
            </w:r>
          </w:p>
        </w:tc>
        <w:tc>
          <w:tcPr>
            <w:tcW w:type="dxa" w:w="3888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“舍与得”具体操作方法论</w:t>
            </w:r>
          </w:p>
        </w:tc>
        <w:tc>
          <w:tcPr>
            <w:tcW w:type="dxa" w:w="3888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典型群像弧光设计范式</w:t>
            </w:r>
          </w:p>
        </w:tc>
      </w:tr>
      <w:tr>
        <w:tc>
          <w:tcPr>
            <w:tcW w:type="dxa" w:w="259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前期之“舍”</w:t>
              <w:br/>
              <w:t>（前1/3集数：极简立标签，克制留白）</w:t>
            </w:r>
          </w:p>
        </w:tc>
        <w:tc>
          <w:tcPr>
            <w:tcW w:type="dxa" w:w="388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出场初期有意识地“舍弃”冗长的背景铺垫，用1—2个极具辨识度的日常细节或反差动作（如2秒盲系鞋带、考倒数第一坐最后一排欢呼、严苛挑剔的餐桌规矩）快速立住鲜明印象，顺畅服务于主线推进。</w:t>
            </w:r>
          </w:p>
        </w:tc>
        <w:tc>
          <w:tcPr>
            <w:tcW w:type="dxa" w:w="388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• 高冷学霸：前期只展现沉默刷题与冷幽默；</w:t>
              <w:br/>
              <w:t>• 清冷校花：前期只展现优等生距离感与节食低血糖；</w:t>
              <w:br/>
              <w:t>• 富二代死党：前期只展现仗义疏财与插科打诨。</w:t>
            </w:r>
          </w:p>
        </w:tc>
      </w:tr>
      <w:tr>
        <w:tc>
          <w:tcPr>
            <w:tcW w:type="dxa" w:w="259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中后期之“得”</w:t>
              <w:br/>
              <w:t>（中后2/3集数：极致反差行动，一举引爆高光）</w:t>
            </w:r>
          </w:p>
        </w:tc>
        <w:tc>
          <w:tcPr>
            <w:tcW w:type="dxa" w:w="388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当剧情推进至中后段关键危机节点时，突然揭开配角隐忍背后的原生家庭创痛，并让其做出一次【彻底打破前期刻板印象的壮烈行动】，一举完成人物封神！</w:t>
            </w:r>
          </w:p>
        </w:tc>
        <w:tc>
          <w:tcPr>
            <w:tcW w:type="dxa" w:w="388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• 高冷学霸之“得”：为还挚友清白，不惜冲进广播室向全校自曝违规秘密作证，坦然承受退学代价；</w:t>
              <w:br/>
              <w:t>• 清冷校花之“得”：表面竞争实则匿名把唯一一票投给对手，并在母权高压下抡起大铁锤砸烂卧室阳台防盗铁护栏；</w:t>
              <w:br/>
              <w:t>• 传统严父之“得”：白天暴怒撕碎孩子的梦想手稿，半夜却在零下二十度暴雪里跪翻十几个垃圾桶找回碎纸、伸出冻裂发黑的双手痛哭。</w:t>
            </w:r>
          </w:p>
        </w:tc>
      </w:tr>
    </w:tbl>
    <w:p>
      <w:pPr>
        <w:spacing w:before="200" w:after="80" w:line="384" w:lineRule="auto"/>
        <w:jc w:val="left"/>
      </w:pPr>
      <w:r>
        <w:rPr>
          <w:rFonts w:ascii="Arial" w:hAnsi="Arial" w:eastAsia="黑体"/>
          <w:b/>
          <w:color w:val="192D55"/>
          <w:sz w:val="25"/>
        </w:rPr>
        <w:t>第三章　“一人一档”六章制档案、全身视觉硬锁与「100%剧本原字立命金句」铁律</w:t>
      </w:r>
    </w:p>
    <w:p>
      <w:pPr>
        <w:spacing w:before="40" w:after="100" w:line="384" w:lineRule="auto"/>
        <w:ind w:firstLine="420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在建立项目人物库（`05_核心人物一人一档`）时，每名角色独立一册（六章制），并严格执行以下两条最高质量铁律：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  <w:cantSplit/>
        </w:trPr>
        <w:tc>
          <w:tcPr>
            <w:tcW w:type="dxa" w:w="3096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人物档案核心铁律</w:t>
            </w:r>
          </w:p>
        </w:tc>
        <w:tc>
          <w:tcPr>
            <w:tcW w:type="dxa" w:w="7272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工业级强制核验标准</w:t>
            </w:r>
          </w:p>
        </w:tc>
      </w:tr>
      <w:tr>
        <w:tc>
          <w:tcPr>
            <w:tcW w:type="dxa" w:w="309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0. 第四章人物小传「按集推进、事无巨细、零机械分场表」铁律</w:t>
            </w:r>
          </w:p>
        </w:tc>
        <w:tc>
          <w:tcPr>
            <w:tcW w:type="dxa" w:w="727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人物小传第四章严禁使用割裂阅读感的机械分场汇总表或括号场号，严禁用分号写干瘪大纲；必须按集数先后顺序（到了EP01《集名》……到了EP02《集名》……）以流畅饱满的文学传记文体，将该角色在每一集的前因后果、具体动作、谁在场谁不在场及原句台词事无巨细地写透，100%对齐定稿剧本。</w:t>
            </w:r>
          </w:p>
        </w:tc>
      </w:tr>
      <w:tr>
        <w:tc>
          <w:tcPr>
            <w:tcW w:type="dxa" w:w="309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1. 从头到脚全身视觉防认错硬锁</w:t>
            </w:r>
          </w:p>
        </w:tc>
        <w:tc>
          <w:tcPr>
            <w:tcW w:type="dxa" w:w="727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第二章必须完整详述角色的身高体态、骨相五官、步姿微动作，并以表格锁死各时期从头到脚的穿搭（特别是在同穿校服/工服时，必须用内搭连帽卫衣翻出帽兜 vs 纯白立领内衬、特定疤痕位置、眼镜与帽饰实现一秒区分）；严禁在末尾粘贴剧本场次原文充字数。</w:t>
            </w:r>
          </w:p>
        </w:tc>
      </w:tr>
      <w:tr>
        <w:tc>
          <w:tcPr>
            <w:tcW w:type="dxa" w:w="309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2. 代表性经典台词（金句）三大铁律</w:t>
              <w:br/>
              <w:t>【严禁失真·严禁错位·严禁低高度】</w:t>
            </w:r>
          </w:p>
        </w:tc>
        <w:tc>
          <w:tcPr>
            <w:tcW w:type="dxa" w:w="727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第六章收录的角色代表性台词必须100%通过三道校验：</w:t>
              <w:br/>
              <w:t>① 【原字原句铁律】：必须与定稿《专业文学剧本》一字不差（严禁凭印象改写或缩句）；</w:t>
              <w:br/>
              <w:t>② 【媒介归属铁律】：严格区分“文字书写者”与“发声朗读者”（如甲角色写在日历/信件上的自省文字被乙角色捡起读出声，必须归入甲角色的自省金句并注明媒介错位，严禁误算作乙角色的原生对白）；</w:t>
              <w:br/>
              <w:t>③ 【立命高度铁律】：入选台词必须代表角色最高人生信念或全剧哲学题眼（如“两三万解决不了我的问题，二三十万、两三百万，都不如我自己——来左右一次人生”），严禁拿普通日常过场词充数。</w:t>
            </w:r>
          </w:p>
        </w:tc>
      </w:tr>
    </w:tbl>
    <w:p>
      <w:pPr>
        <w:spacing w:before="200" w:after="80" w:line="384" w:lineRule="auto"/>
        <w:jc w:val="left"/>
      </w:pPr>
      <w:r>
        <w:rPr>
          <w:rFonts w:ascii="Arial" w:hAnsi="Arial" w:eastAsia="黑体"/>
          <w:b/>
          <w:color w:val="192D55"/>
          <w:sz w:val="25"/>
        </w:rPr>
        <w:t>第三章　【人物工程实操工具】核心人物关系四阶动态裂变沙盘与一人一档（按集推进叙事）质检表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/>
          <w:cantSplit/>
        </w:trPr>
        <w:tc>
          <w:tcPr>
            <w:tcW w:type="dxa" w:w="2664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实操把控与自检维度</w:t>
            </w:r>
          </w:p>
        </w:tc>
        <w:tc>
          <w:tcPr>
            <w:tcW w:type="dxa" w:w="4104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工业级执行标准与质检清单（Checklist）</w:t>
            </w:r>
          </w:p>
        </w:tc>
        <w:tc>
          <w:tcPr>
            <w:tcW w:type="dxa" w:w="360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新剧项目落地填写区</w:t>
            </w:r>
          </w:p>
        </w:tc>
      </w:tr>
      <w:tr>
        <w:tc>
          <w:tcPr>
            <w:tcW w:type="dxa" w:w="266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1. 主角团内部关系四阶动态裂变</w:t>
            </w:r>
          </w:p>
        </w:tc>
        <w:tc>
          <w:tcPr>
            <w:tcW w:type="dxa" w:w="410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拒绝静态人设，按【第一阶：错位操控与暗中拆台 ➔ 第二阶：反噬恐慌下的暂时结盟 ➔ 第三阶：底牌掀开后的正面宣战 ➔ 第四阶：绝境苦难后的生死共担与放手成全】推进关系裂变。</w:t>
            </w:r>
          </w:p>
        </w:tc>
        <w:tc>
          <w:tcPr>
            <w:tcW w:type="dxa" w:w="3600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【第一阶操控冲突】：__________</w:t>
              <w:br/>
              <w:t>【第二阶结盟契机】：__________</w:t>
              <w:br/>
              <w:t>【第三阶掉马宣战】：__________</w:t>
              <w:br/>
              <w:t>【第四阶生死合流】：__________</w:t>
            </w:r>
          </w:p>
        </w:tc>
      </w:tr>
      <w:tr>
        <w:tc>
          <w:tcPr>
            <w:tcW w:type="dxa" w:w="266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2. 镜像原生家庭与反派感化裂变</w:t>
            </w:r>
          </w:p>
        </w:tc>
        <w:tc>
          <w:tcPr>
            <w:tcW w:type="dxa" w:w="410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设计至少两组镜像家庭对照（开明温暖家庭 vs 窒息控制家庭的破笼和解），并用主角团毫无保留的四件暖事完成对立体反派的合理感化。</w:t>
            </w:r>
          </w:p>
        </w:tc>
        <w:tc>
          <w:tcPr>
            <w:tcW w:type="dxa" w:w="3600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【高压家庭破笼名场面】：______</w:t>
              <w:br/>
              <w:t>【感化反派的四件具体暖事】：__</w:t>
            </w:r>
          </w:p>
        </w:tc>
      </w:tr>
      <w:tr>
        <w:tc>
          <w:tcPr>
            <w:tcW w:type="dxa" w:w="266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3. 一人一档六章制与按集叙事铁律</w:t>
            </w:r>
          </w:p>
        </w:tc>
        <w:tc>
          <w:tcPr>
            <w:tcW w:type="dxa" w:w="410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第四章人物小传严禁使用机械分场表或括号场号，必须按集数先后顺序（到了EP01《……》……到了EPXX《……》）以文学传记文体事无巨细还原前因后果与原句台词。</w:t>
            </w:r>
          </w:p>
        </w:tc>
        <w:tc>
          <w:tcPr>
            <w:tcW w:type="dxa" w:w="3600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□ 已剔除所有演员真名与总集合集</w:t>
              <w:br/>
              <w:t>□ 第四章已按集推进撰写完整传记</w:t>
              <w:br/>
              <w:t>□ 第六章金句已100%对齐剧本原文</w:t>
            </w:r>
          </w:p>
        </w:tc>
      </w:tr>
    </w:tbl>
    <w:sectPr w:rsidR="00FC693F" w:rsidRPr="0006063C" w:rsidSect="00034616">
      <w:pgSz w:w="12240" w:h="15840"/>
      <w:pgMar w:top="1080" w:right="936" w:bottom="108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