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line="384" w:lineRule="auto"/>
        <w:jc w:val="center"/>
      </w:pPr>
      <w:r>
        <w:rPr>
          <w:rFonts w:ascii="Arial" w:hAnsi="Arial" w:eastAsia="黑体"/>
          <w:b/>
          <w:color w:val="142850"/>
          <w:sz w:val="31"/>
        </w:rPr>
        <w:t>全流程把控尺三：草蛇灰线、长线伏笔“三步埋设工程”与核心道具闭环母版</w:t>
      </w:r>
    </w:p>
    <w:p>
      <w:pPr>
        <w:spacing w:before="0" w:after="280" w:line="384" w:lineRule="auto"/>
        <w:jc w:val="center"/>
      </w:pPr>
      <w:r>
        <w:rPr>
          <w:rFonts w:ascii="Times New Roman" w:hAnsi="Times New Roman" w:eastAsia="宋体"/>
          <w:b w:val="0"/>
          <w:color w:val="5A5A5A"/>
          <w:sz w:val="20"/>
        </w:rPr>
        <w:t>（从 0 到 1 剧集开发第三阶段总控｜如何提前预埋伏笔、如何设计道具跨集流转、如何实现终局颠覆回收）</w:t>
      </w:r>
    </w:p>
    <w:p>
      <w:pPr>
        <w:spacing w:before="200" w:after="80" w:line="384" w:lineRule="auto"/>
        <w:jc w:val="left"/>
      </w:pPr>
      <w:r>
        <w:rPr>
          <w:rFonts w:ascii="Arial" w:hAnsi="Arial" w:eastAsia="黑体"/>
          <w:b/>
          <w:color w:val="192D55"/>
          <w:sz w:val="26"/>
        </w:rPr>
        <w:t>第一章　长线伏笔“初埋—唤醒—颠覆回收”三步工程法则</w:t>
      </w:r>
    </w:p>
    <w:p>
      <w:pPr>
        <w:spacing w:before="40" w:after="100" w:line="384" w:lineRule="auto"/>
        <w:ind w:firstLine="420"/>
        <w:jc w:val="left"/>
      </w:pPr>
      <w:r>
        <w:rPr>
          <w:rFonts w:ascii="Times New Roman" w:hAnsi="Times New Roman" w:eastAsia="宋体"/>
          <w:b w:val="0"/>
          <w:color w:val="141414"/>
          <w:sz w:val="21"/>
        </w:rPr>
        <w:t>在动笔写第一集剧本之前，总编剧必须先把大结局（最后一集）主角用来破局的所有关键钥匙倒推出来，并严格按照【三步埋设工程法】提前分配到前、中、后三段集数中：</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伏笔工程阶段</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操作法则与伪装技巧</w:t>
            </w:r>
          </w:p>
        </w:tc>
        <w:tc>
          <w:tcPr>
            <w:tcW w:type="dxa" w:w="331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工程检验标准</w:t>
            </w:r>
          </w:p>
        </w:tc>
      </w:tr>
      <w:tr>
        <w:trPr>
          <w:cantSplit/>
        </w:trPr>
        <w:tc>
          <w:tcPr>
            <w:tcW w:type="dxa" w:w="23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第一步：无痕初埋</w:t>
              <w:br/>
              <w:t>（前 1/3 集数）</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将关键道具、特殊名字、生理特征或一句看似随口的台词，包裹在极具生活气息的日常情境或喜剧冲突中自然带出。必须给观众一个“当场就已经消费完”的合理表层解释，绝不特意强调其未来用途。</w:t>
            </w:r>
          </w:p>
        </w:tc>
        <w:tc>
          <w:tcPr>
            <w:tcW w:type="dxa" w:w="331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观众初看时觉得生动有趣、合情合理，二刷时才会惊呼“原来第一集这里就已经埋下了结局”。</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第二步：中段唤醒与变奏</w:t>
              <w:br/>
              <w:t>（中 1/3 集数）</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剧集中段让该伏笔再次登场，但发生【状态异变】（如原本存在的印记突然消失、原本普通的工具在另一场景被使用、原本的善意举动无意间触动了敌方底层人员），或用一次“看似成功实则失效的错误尝试”加深悬念。</w:t>
            </w:r>
          </w:p>
        </w:tc>
        <w:tc>
          <w:tcPr>
            <w:tcW w:type="dxa" w:w="331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既刷新了观众对该伏笔的记忆，又通过“第一次回收失败”彻底堵死常规套路解法。</w:t>
            </w:r>
          </w:p>
        </w:tc>
      </w:tr>
      <w:tr>
        <w:trPr>
          <w:cantSplit/>
        </w:trPr>
        <w:tc>
          <w:tcPr>
            <w:tcW w:type="dxa" w:w="23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第三步：终局颠覆回收</w:t>
              <w:br/>
              <w:t>（最后 2 集）</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在全剧最高潮的绝境时刻，将前期埋下的多条伏笔链条同时收拢交汇——让最不起眼的日常工具、最纯粹的本能善举或一个未曾改变的名字，化作击穿终极死局的唯一决定性变量。</w:t>
            </w:r>
          </w:p>
        </w:tc>
        <w:tc>
          <w:tcPr>
            <w:tcW w:type="dxa" w:w="331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实现“情理之中、意料之外”的颅内高潮，全剧所有重要道具100%完成首尾闭环。</w:t>
            </w:r>
          </w:p>
        </w:tc>
      </w:tr>
    </w:tbl>
    <w:p>
      <w:pPr>
        <w:spacing w:before="240" w:after="80" w:line="384" w:lineRule="auto"/>
        <w:jc w:val="left"/>
      </w:pPr>
      <w:r>
        <w:rPr>
          <w:rFonts w:ascii="Arial" w:hAnsi="Arial" w:eastAsia="黑体"/>
          <w:b/>
          <w:color w:val="192D55"/>
          <w:sz w:val="26"/>
        </w:rPr>
        <w:t>第二章　五大核心伏笔类型与跨集道具工程设计模型</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伏笔与道具模型类别</w:t>
            </w:r>
          </w:p>
        </w:tc>
        <w:tc>
          <w:tcPr>
            <w:tcW w:type="dxa" w:w="403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剧作设计机理</w:t>
            </w:r>
          </w:p>
        </w:tc>
        <w:tc>
          <w:tcPr>
            <w:tcW w:type="dxa" w:w="37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新剧规划填空模板</w:t>
            </w:r>
          </w:p>
        </w:tc>
      </w:tr>
      <w:tr>
        <w:trPr>
          <w:cantSplit/>
        </w:trPr>
        <w:tc>
          <w:tcPr>
            <w:tcW w:type="dxa" w:w="25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类型一：名字 / 户籍 / 身份锁眼型</w:t>
              <w:br/>
              <w:t>（终极规则破局锁）</w:t>
            </w:r>
          </w:p>
        </w:tc>
        <w:tc>
          <w:tcPr>
            <w:tcW w:type="dxa" w:w="403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利用角色姓名、曾用名、编号或档案记录的唯一性作为系统/对手锁定的锚点；前期交代改名或编号的创伤成因，大结局通过解开心理创伤使角色“无需改名/改变编号”，从而在底层逻辑上令对手的锁定彻底失效。</w:t>
            </w:r>
          </w:p>
        </w:tc>
        <w:tc>
          <w:tcPr>
            <w:tcW w:type="dxa" w:w="37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核心名字/编号锚点：________</w:t>
              <w:br/>
              <w:t>• 原初改变原因（EP__）：________</w:t>
              <w:br/>
              <w:t>• 终局不改名破局机制（EP__）：________</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类型二：身体印记 / 生理本能型</w:t>
              <w:br/>
              <w:t>（身份相认与因果计量表）</w:t>
            </w:r>
          </w:p>
        </w:tc>
        <w:tc>
          <w:tcPr>
            <w:tcW w:type="dxa" w:w="403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为角色设定一处独特的身体印记（如特定位置的伤疤）或不可抗拒的生理本能（如特定食物过敏、听到特定词句的条件反射）；随剧情推进让伤疤消失或重现，外化因果线的改变。</w:t>
            </w:r>
          </w:p>
        </w:tc>
        <w:tc>
          <w:tcPr>
            <w:tcW w:type="dxa" w:w="37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身体印记/生理本能：________</w:t>
              <w:br/>
              <w:t>• 首次掉马/相认场次（EP__）：________</w:t>
              <w:br/>
              <w:t>• 中段异变与终局归位（EP__）：________</w:t>
            </w:r>
          </w:p>
        </w:tc>
      </w:tr>
      <w:tr>
        <w:trPr>
          <w:cantSplit/>
        </w:trPr>
        <w:tc>
          <w:tcPr>
            <w:tcW w:type="dxa" w:w="25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类型三：日常器物跨维升维型</w:t>
              <w:br/>
              <w:t>（小道具大绝杀）</w:t>
            </w:r>
          </w:p>
        </w:tc>
        <w:tc>
          <w:tcPr>
            <w:tcW w:type="dxa" w:w="403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将一件在底层日常生活场景中极其普通的工具（如一把修家电的旧螺丝刀、一只普通手电筒、一张未投出的选票），合情合理地携带进入高潮决战场景，发挥出扭转乾坤的关键物理或情感作用。</w:t>
            </w:r>
          </w:p>
        </w:tc>
        <w:tc>
          <w:tcPr>
            <w:tcW w:type="dxa" w:w="37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日常器物名称与物理外观：________</w:t>
              <w:br/>
              <w:t>• 日常使用场次（EP__）：________</w:t>
              <w:br/>
              <w:t>• 终局高潮绝杀用途（EP__）：________</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类型四：味觉与空间坐标锚点型</w:t>
              <w:br/>
              <w:t>（跨时空宿命红线）</w:t>
            </w:r>
          </w:p>
        </w:tc>
        <w:tc>
          <w:tcPr>
            <w:tcW w:type="dxa" w:w="403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用一道具有特定食材产地的平民美食或一处特定街角空间，串联起不同年代、不同城市的人物命运，在收官阶段借店主/路人之口补全跨越十余年的因果链条。</w:t>
            </w:r>
          </w:p>
        </w:tc>
        <w:tc>
          <w:tcPr>
            <w:tcW w:type="dxa" w:w="37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标志性食物与特定食材产地：________</w:t>
              <w:br/>
              <w:t>• 前期出场集数（EP__）：________</w:t>
              <w:br/>
              <w:t>• 终局闭环揭秘台词（EP__）：________</w:t>
            </w:r>
          </w:p>
        </w:tc>
      </w:tr>
      <w:tr>
        <w:trPr>
          <w:cantSplit/>
        </w:trPr>
        <w:tc>
          <w:tcPr>
            <w:tcW w:type="dxa" w:w="25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类型五：善意回旋镖型</w:t>
              <w:br/>
              <w:t>（感化对手的破局钥匙）</w:t>
            </w:r>
          </w:p>
        </w:tc>
        <w:tc>
          <w:tcPr>
            <w:tcW w:type="dxa" w:w="403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主角团在不知情状态下对潜伏对手施予的几次毫无功利心的纯粹善意（如解围、赠物、分享食物），在终局生死关头触发对手的良知倒戈，留下决定性的通关信物。</w:t>
            </w:r>
          </w:p>
        </w:tc>
        <w:tc>
          <w:tcPr>
            <w:tcW w:type="dxa" w:w="37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四次善意细节（EP__）：________</w:t>
              <w:br/>
              <w:t>• 对手倒戈场次（EP__）：________</w:t>
              <w:br/>
              <w:t>• 留下的关键通关信物（EP__）：________</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