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384" w:lineRule="auto"/>
        <w:jc w:val="center"/>
      </w:pPr>
      <w:r>
        <w:rPr>
          <w:rFonts w:ascii="Arial" w:hAnsi="Arial" w:eastAsia="黑体"/>
          <w:b/>
          <w:color w:val="142850"/>
          <w:sz w:val="31"/>
        </w:rPr>
        <w:t>全流程把控尺四：立体人物群像设计、表里反差公式与一人一档全身视觉硬锁母版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20"/>
        </w:rPr>
        <w:t>（从 0 到 1 剧集开发第四阶段总控｜如何塑造饱满立体的人物、如何建立全身从头到脚视觉硬锁、如何构建群像关系网）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6"/>
        </w:rPr>
        <w:t>第一章　一人一档建档铁律与“四维立体人物建模公式”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全流程剧集开发中，人物小传绝不是几百字的简略梗概，更不能把多个人物拼凑在一个合集文件里。必须严格执行【单个人物独立一档（一人一档）、不设合集总集、不标注演员姓名、严禁末尾附加凑数表格】的工业标准，并通过以下四维公式将每个人物彻底立住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人物建模四维法则</w:t>
            </w:r>
          </w:p>
        </w:tc>
        <w:tc>
          <w:tcPr>
            <w:tcW w:type="dxa" w:w="44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深度设计规范与把控标准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人物档案六章制对应落点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第一维：表里反差与原生创伤</w:t>
              <w:br/>
              <w:t>（Psychological Contrast）</w:t>
            </w:r>
          </w:p>
        </w:tc>
        <w:tc>
          <w:tcPr>
            <w:tcW w:type="dxa" w:w="44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为每个角色设计强烈的【表层社交面具 ⇄ 深层心理软肋】反差：表面越玩世不恭、满口功利算计的人，内心往往藏着越深沉的悔恨与守护欲；表面越暴躁专制的长辈，背后往往有着越笨拙心酸的付出；表面越完美高冷的优等生，往往承受着越窒息的家庭控制。</w:t>
            </w:r>
          </w:p>
        </w:tc>
        <w:tc>
          <w:tcPr>
            <w:tcW w:type="dxa" w:w="331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落位至【第一章 角色核心设定总卡】与【第三章 人物深度心理画像与性格成因剖析】。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第二维：从头到脚全身视觉硬锁</w:t>
              <w:br/>
              <w:t>（Full-Body Visual Lock）</w:t>
            </w:r>
          </w:p>
        </w:tc>
        <w:tc>
          <w:tcPr>
            <w:tcW w:type="dxa" w:w="44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必须像美术指导与造型师一样，完整写清角色的：① 身高体型、头身比、肩宽与体态步姿；② 脸型轮廓、眉形、眼型、鼻唇骨相、肤色肌理与特殊印记（伤疤位置尺寸/胡茬/眼镜款式）；③ 全剧各时期、各核心场景从头顶（发型/帽饰）、颈部（围巾）、外层服装、内搭领口（同穿制式校服/工服时的第一区分锚点）、下装到鞋履配饰的完整全身穿搭。</w:t>
            </w:r>
          </w:p>
        </w:tc>
        <w:tc>
          <w:tcPr>
            <w:tcW w:type="dxa" w:w="331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落位至【第二章 人物整体全身形象、面部骨相、体态步姿与全时期穿搭详述】及【跨时期全身造型设定总表】。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第三维：全剧完整事件与弧光链</w:t>
              <w:br/>
              <w:t>（Complete Event Chronicle）</w:t>
            </w:r>
          </w:p>
        </w:tc>
        <w:tc>
          <w:tcPr>
            <w:tcW w:type="dxa" w:w="44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严禁只写三言两语的性格概括！必须按故事阶段（前史 ➔ 第一阶段 ➔ 第二阶段 ➔ 第三阶段 ➔ 终局），将该角色在全剧中经历的每一桩核心事件（起因、具体发生场景、对手戏交锋、关键动作细节与心理蜕变）写成数千字详实连贯的人物传记长文。</w:t>
            </w:r>
          </w:p>
        </w:tc>
        <w:tc>
          <w:tcPr>
            <w:tcW w:type="dxa" w:w="331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落位至【第四章 全剧完整人物生平传记与核心事件全纪实】（注：撰写时必须逐集回读核对剧本，严禁凭模糊记忆编造）。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第四维：关系拓扑与声音台词指纹</w:t>
              <w:br/>
              <w:t>（Relationship &amp; Voice Matrix）</w:t>
            </w:r>
          </w:p>
        </w:tc>
        <w:tc>
          <w:tcPr>
            <w:tcW w:type="dxa" w:w="44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构建角色与所有关联人物的权力消长、情感纠葛与镜像对照关系；提炼角色独特的嗓音特质、语速节奏、口头禅及全剧最具代表性的经典台词原句。</w:t>
            </w:r>
          </w:p>
        </w:tc>
        <w:tc>
          <w:tcPr>
            <w:tcW w:type="dxa" w:w="331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落位至【第五章 核心人物关系网与对手戏张力解析】与【第六章 代表性经典台词金句全录与表演调度指南】。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