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全流程把控尺五：场景空间心理外化、色温光谱编码与从文学剧本到导演分镜转化母版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20"/>
        </w:rPr>
        <w:t>（从 0 到 1 剧集开发第五至八阶段总控｜一景一档空间设计 ＋ 文学剧本8道断言 ＋ 横向6列导演分镜转化标准）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6"/>
        </w:rPr>
        <w:t>第一章　一景一档空间美学设定与色温心理编码体系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每一个核心场景必须独立建立一册五章制档案（单景单档、不设合集总集、严禁末尾附加凑数表格），从外立面门头、周边环境、平面格局、墙地面材质肌理、家具软装陈设到子空间机位轴线进行全方位细描，并建立严格的【色温光谱心理编码】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色温区间与光影质感</w:t>
            </w:r>
          </w:p>
        </w:tc>
        <w:tc>
          <w:tcPr>
            <w:tcW w:type="dxa" w:w="41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空间类型与材质陈设特征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外化的人物心理与戏剧氛围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2800K—3200K</w:t>
              <w:br/>
              <w:t>暖琥珀色实用光源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平民家庭客餐厅、复古小书店、街边砂锅小吃店、夜宵餐车；多原木护墙板、碎花桌布、暖黄吊灯与蒸腾水汽。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外化亲情避风港的温暖包裹感、怀旧乡愁与市井烟火气的治愈力量。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4300K—4800K</w:t>
              <w:br/>
              <w:t>通透自然天光 / 夕阳金光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校园教室、走廊连廊、操场看台、林荫街道；红砖外墙、浅绿墙裙、原木课桌与冬日白雪反光。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外化青春群像的明朗朝气、成长试错的躁动以及黄昏斜影下的命运转折感。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5500K—6500K</w:t>
              <w:br/>
              <w:t>高冷惨白 / 幽蓝无影光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高压精英别墅、医院急诊室、近未来陵园、高维科技主控室；大理石地面、金属玻璃隔断、防盗铁护栏与全息大屏。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外化原生家庭的控制窒息感、中年失意的冰冷孤寂，或系统规则对人性的无情压迫。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6"/>
        </w:rPr>
        <w:t>第二章　专业文学剧本 8 道格式铁律与横向 6 列导演分镜转化标准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创作环节</w:t>
            </w:r>
          </w:p>
        </w:tc>
        <w:tc>
          <w:tcPr>
            <w:tcW w:type="dxa" w:w="468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工业级格式与内容把控硬标准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剧作 ➔ 视听转化执行要点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专业文学剧本</w:t>
              <w:br/>
              <w:t>（01_专业文学剧本）</w:t>
            </w:r>
          </w:p>
        </w:tc>
        <w:tc>
          <w:tcPr>
            <w:tcW w:type="dxa" w:w="468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1. 零表格、零顶部导读框、零“△”符号、零“〔〕”括号、零“Shot #”镜头号、零演员名；</w:t>
              <w:br/>
              <w:t>2. 场标题格式：`集-场　内/外　主场景·子场景 — 日/夜`（黑体11.5pt左顶格加粗）；</w:t>
              <w:br/>
              <w:t>3. 角色名独立居中加粗（11pt黑体），台词独立成段左缩进108pt、右缩进72pt（11pt宋体，不加首尾引号）；</w:t>
              <w:br/>
              <w:t>4. 【核心铁律 max_consec == 1】：严禁连续出现两句以上裸对白！每两句台词之间必须穿插具体的微动作、眼神变化、呼吸停顿与道具交互；</w:t>
              <w:br/>
              <w:t>5. 片尾固定为：左顶格加粗 `*开始片尾音乐：` ＋ 右对齐加粗 `切至黑屏，片尾`。</w:t>
            </w:r>
          </w:p>
        </w:tc>
        <w:tc>
          <w:tcPr>
            <w:tcW w:type="dxa" w:w="331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在文字剧本阶段就把“潜台词”外化为可视化的肢体动作与道具细节，为演员表演与导演分镜提供精准支点。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横向6列导演分镜本</w:t>
              <w:br/>
              <w:t>（02_分镜脚本与视听拉片本）</w:t>
            </w:r>
          </w:p>
        </w:tc>
        <w:tc>
          <w:tcPr>
            <w:tcW w:type="dxa" w:w="468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采用 11×8.5 英寸横向页面（净宽 9.8 英寸）：</w:t>
              <w:br/>
              <w:t>• 第一部分：全集分场空间落点、镜数规模与核心戏剧任务总表（4列）；</w:t>
              <w:br/>
              <w:t>• 第二部分：逐场展开 6 列专业导演分镜表（`镜号 | 景别 | 机位角度与运镜方式 | 画面内容、全身造型与人物表演调度 | 同期台词/画外音/屏幕微距文字 | 光影色温与音效配乐`）。</w:t>
            </w:r>
          </w:p>
        </w:tc>
        <w:tc>
          <w:tcPr>
            <w:tcW w:type="dxa" w:w="331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将剧本中的每一个戏剧节拍拆解为具体的摄影机运动（推拉摇移跟升降）、景别切换、机位高低权力关系、色温反差与声音桥转场。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