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96" w:lineRule="auto"/>
        <w:jc w:val="center"/>
      </w:pPr>
      <w:r>
        <w:rPr>
          <w:rFonts w:ascii="Arial" w:hAnsi="Arial" w:eastAsia="黑体"/>
          <w:b/>
          <w:color w:val="111111"/>
          <w:sz w:val="36"/>
        </w:rPr>
        <w:t>《剧名》</w:t>
      </w:r>
    </w:p>
    <w:p>
      <w:pPr>
        <w:spacing w:before="0" w:after="120" w:line="396" w:lineRule="auto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ENGLISH TITLE — COMPLETE SCREENPLAY COMPENDIUM</w:t>
      </w:r>
    </w:p>
    <w:p>
      <w:pPr>
        <w:spacing w:before="0" w:after="360" w:line="396" w:lineRule="auto"/>
        <w:jc w:val="center"/>
      </w:pPr>
      <w:r>
        <w:rPr>
          <w:rFonts w:ascii="Arial" w:hAnsi="Arial" w:eastAsia="黑体"/>
          <w:b/>
          <w:color w:val="111111"/>
          <w:sz w:val="30"/>
        </w:rPr>
        <w:t>全N集专业文学剧本总本（EP01—EPXX｜唯一纯净汇总总本，不设分卷隔断）</w:t>
      </w:r>
    </w:p>
    <w:p>
      <w:pPr>
        <w:spacing w:before="280" w:after="120" w:line="396" w:lineRule="auto"/>
        <w:jc w:val="left"/>
      </w:pPr>
      <w:r>
        <w:rPr>
          <w:rFonts w:ascii="Arial" w:hAnsi="Arial" w:eastAsia="黑体"/>
          <w:b/>
          <w:color w:val="111111"/>
          <w:sz w:val="23"/>
        </w:rPr>
        <w:t>1-1　外　主场景名·具体子空间（可选时代年份如1998/2008） — 夜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【环境与视听起幅描写】在此处用纯文学语言描写开场环境、光影氛围、环境音效与人物初始走位状态（严禁使用“”符号、“（）”括号或“Shot #”镜头号；严禁标注演员姓名）。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角色甲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这是第一句标准角色台词，角色名独立居中加粗，台词左缩进108pt、右缩进72pt，且不加首尾引号。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【强制微动作与神态穿插】根据断言8（max_consec == 1），每两句台词之间必须穿插原片真实的微动作、眼神变化或道具交互（如：角色乙握着听筒的手微微颤抖，垂下眼帘摩挲着桌面上的旧钢笔，停顿两秒后才抬起头开口），严禁连续堆砌裸对白。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角色乙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这是回应的第二句台词。通过“一句对白＋一段精准微动作神态”的交替韵律，确保剧本具备极强的画面还原度与表演指导价值。</w:t>
      </w:r>
    </w:p>
    <w:p>
      <w:pPr>
        <w:spacing w:before="120" w:after="160" w:line="396" w:lineRule="auto"/>
        <w:jc w:val="right"/>
      </w:pPr>
      <w:r>
        <w:rPr>
          <w:rFonts w:ascii="Arial" w:hAnsi="Arial" w:eastAsia="黑体"/>
          <w:b/>
          <w:color w:val="111111"/>
          <w:sz w:val="21"/>
        </w:rPr>
        <w:t>切至：</w:t>
      </w:r>
    </w:p>
    <w:p>
      <w:pPr>
        <w:spacing w:before="280" w:after="120" w:line="396" w:lineRule="auto"/>
        <w:jc w:val="left"/>
      </w:pPr>
      <w:r>
        <w:rPr>
          <w:rFonts w:ascii="Arial" w:hAnsi="Arial" w:eastAsia="黑体"/>
          <w:b/>
          <w:color w:val="111111"/>
          <w:sz w:val="23"/>
        </w:rPr>
        <w:t>1-2　内　第二主场景·具体子空间 — 日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开始音乐蒙太奇：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【音乐蒙太奇段落描写】在此描写伴随插曲展开的多组平行画面与人物状态演进。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结束音乐蒙太奇。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本集最后一场核心断章（Cliffhanger）动作与神态定格描写，将悬念推向最高潮。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角色甲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本集收尾点睛台词。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*开始片尾音乐：</w:t>
      </w:r>
    </w:p>
    <w:p>
      <w:pPr>
        <w:spacing w:before="120" w:after="160" w:line="396" w:lineRule="auto"/>
        <w:jc w:val="right"/>
      </w:pPr>
      <w:r>
        <w:rPr>
          <w:rFonts w:ascii="Arial" w:hAnsi="Arial" w:eastAsia="黑体"/>
          <w:b/>
          <w:color w:val="111111"/>
          <w:sz w:val="21"/>
        </w:rPr>
        <w:t>切至黑屏，片尾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555555"/>
        <w:sz w:val="20"/>
      </w:rPr>
      <w:t>EP01</w:t>
      <w:tab/>
      <w:tab/>
    </w:r>
    <w:r>
      <w:rPr>
        <w:rFonts w:ascii="Times New Roman" w:hAnsi="Times New Roman"/>
        <w:color w:val="555555"/>
        <w:sz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