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384" w:lineRule="auto"/>
        <w:jc w:val="center"/>
      </w:pPr>
      <w:r>
        <w:rPr>
          <w:rFonts w:ascii="Arial" w:hAnsi="Arial" w:eastAsia="黑体"/>
          <w:b/>
          <w:color w:val="142850"/>
          <w:sz w:val="36"/>
        </w:rPr>
        <w:t>《剧名》（ENGLISH TITLE）</w:t>
      </w:r>
    </w:p>
    <w:p>
      <w:pPr>
        <w:spacing w:before="40" w:after="80" w:line="384" w:lineRule="auto"/>
        <w:jc w:val="center"/>
      </w:pPr>
      <w:r>
        <w:rPr>
          <w:rFonts w:ascii="Arial" w:hAnsi="Arial" w:eastAsia="黑体"/>
          <w:b/>
          <w:color w:val="142850"/>
          <w:sz w:val="30"/>
        </w:rPr>
        <w:t>世界观设定、剧情大纲、戏剧结构与主创阐述总论（八编标准模板）</w:t>
      </w:r>
    </w:p>
    <w:p>
      <w:pPr>
        <w:spacing w:before="0" w:after="280" w:line="384" w:lineRule="auto"/>
        <w:jc w:val="center"/>
      </w:pPr>
      <w:r>
        <w:rPr>
          <w:rFonts w:ascii="Times New Roman" w:hAnsi="Times New Roman" w:eastAsia="宋体"/>
          <w:b w:val="0"/>
          <w:color w:val="5A5A5A"/>
          <w:sz w:val="20"/>
        </w:rPr>
        <w:t>（全流程工业级标准参照总本｜涵盖项目定位·导演阐述·视听总纲·世界观法则·三本时间账·人物体系·场景与道具工程·分集大纲·逐集解码）</w:t>
      </w:r>
    </w:p>
    <w:p>
      <w:pPr>
        <w:spacing w:before="240" w:after="80" w:line="384" w:lineRule="auto"/>
        <w:jc w:val="left"/>
      </w:pPr>
      <w:r>
        <w:rPr>
          <w:rFonts w:ascii="Arial" w:hAnsi="Arial" w:eastAsia="黑体"/>
          <w:b/>
          <w:color w:val="142850"/>
          <w:sz w:val="27"/>
        </w:rPr>
        <w:t>第一编　项目总定位、核心故事核（Logline &amp; Synopsis）与导演/编剧主创阐述</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项目核心规格与题材定位</w:t>
            </w:r>
          </w:p>
        </w:tc>
        <w:tc>
          <w:tcPr>
            <w:tcW w:type="dxa" w:w="73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标准填写规范与示范说明</w:t>
            </w:r>
          </w:p>
        </w:tc>
      </w:tr>
      <w:tr>
        <w:trPr>
          <w:cantSplit/>
        </w:trPr>
        <w:tc>
          <w:tcPr>
            <w:tcW w:type="dxa" w:w="302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项目名称与体量规格</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中文剧名 / 英文剧名｜全 N 集 × 单集时长｜核心题材类型标签</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一句话故事核（Logline）</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用 60–100 字精准概括【核心主角】＋【激励事件】＋【核心目标与对手】＋【终极代价与哲学反转】</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三百字核心故事梗概（Synopsis）</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完整交代起承转合四幕主线脉络与大结局核心破局方式</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导演与编剧主创阐述</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深入阐述本剧的创作初心、现实/哲学母题、叙事破题角度及对类型套路的反叛创新</w:t>
            </w:r>
          </w:p>
        </w:tc>
      </w:tr>
    </w:tbl>
    <w:p>
      <w:pPr>
        <w:spacing w:before="240" w:after="80" w:line="384" w:lineRule="auto"/>
        <w:jc w:val="left"/>
      </w:pPr>
      <w:r>
        <w:rPr>
          <w:rFonts w:ascii="Arial" w:hAnsi="Arial" w:eastAsia="黑体"/>
          <w:b/>
          <w:color w:val="142850"/>
          <w:sz w:val="27"/>
        </w:rPr>
        <w:t>第二编　导演视听美学总纲（摄影造型·灯光色温·美术置景·声音剪辑四大部门阐述）</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视听主创部门</w:t>
            </w:r>
          </w:p>
        </w:tc>
        <w:tc>
          <w:tcPr>
            <w:tcW w:type="dxa" w:w="73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全流程工业级视听美学标准与执行规范</w:t>
            </w:r>
          </w:p>
        </w:tc>
      </w:tr>
      <w:tr>
        <w:trPr>
          <w:cantSplit/>
        </w:trPr>
        <w:tc>
          <w:tcPr>
            <w:tcW w:type="dxa" w:w="302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摄影造型部门总纲</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确立机位权力关系、镜头焦段分配、构图范式（如对称/三分屏/镜像）与运动镜头准则</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灯光与色温部门总纲</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建立不同时代/空间/心理阶段的色温光谱编码（如3200K家庭暖黄 vs 5600K冷灰蓝 vs 6000K科技冷白）</w:t>
            </w:r>
          </w:p>
        </w:tc>
      </w:tr>
      <w:tr>
        <w:trPr>
          <w:cantSplit/>
        </w:trPr>
        <w:tc>
          <w:tcPr>
            <w:tcW w:type="dxa" w:w="302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美术置景与服化道总纲</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确立时代空间质感、建筑陈设肌理与核心角色从头到脚的防认错造型硬锁</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声音设计与剪辑总纲</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确立黄金冷开场（Cold Open）、OP/ED卡点、声音桥（Sound Bridge）、匹配转场与时代配乐对位法则</w:t>
            </w:r>
          </w:p>
        </w:tc>
      </w:tr>
    </w:tbl>
    <w:p>
      <w:pPr>
        <w:spacing w:before="240" w:after="80" w:line="384" w:lineRule="auto"/>
        <w:jc w:val="left"/>
      </w:pPr>
      <w:r>
        <w:rPr>
          <w:rFonts w:ascii="Arial" w:hAnsi="Arial" w:eastAsia="黑体"/>
          <w:b/>
          <w:color w:val="142850"/>
          <w:sz w:val="27"/>
        </w:rPr>
        <w:t>第三编　世界观底层设定与核心运行法则体系</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世界观法则 / 时代坐标</w:t>
            </w:r>
          </w:p>
        </w:tc>
        <w:tc>
          <w:tcPr>
            <w:tcW w:type="dxa" w:w="73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实证集数与底层运行机制详解</w:t>
            </w:r>
          </w:p>
        </w:tc>
      </w:tr>
      <w:tr>
        <w:trPr>
          <w:cantSplit/>
        </w:trPr>
        <w:tc>
          <w:tcPr>
            <w:tcW w:type="dxa" w:w="302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时代与社会空间基底</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逐一拆解故事所处的时代背景、社会风貌与物理规则</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核心运行铁律（1—10条）</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逐条列出剧作核心设定法则、触发条件、代价限制及跨集因果验证场次</w:t>
            </w:r>
          </w:p>
        </w:tc>
      </w:tr>
    </w:tbl>
    <w:p>
      <w:pPr>
        <w:spacing w:before="240" w:after="80" w:line="384" w:lineRule="auto"/>
        <w:jc w:val="left"/>
      </w:pPr>
      <w:r>
        <w:rPr>
          <w:rFonts w:ascii="Arial" w:hAnsi="Arial" w:eastAsia="黑体"/>
          <w:b/>
          <w:color w:val="142850"/>
          <w:sz w:val="27"/>
        </w:rPr>
        <w:t>第四编　三本时间账（A客观顺时序 / B观众呈现序 / C角色认知信息差）与全局叙事沙盘</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时间账本与叙事维度</w:t>
            </w:r>
          </w:p>
        </w:tc>
        <w:tc>
          <w:tcPr>
            <w:tcW w:type="dxa" w:w="73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全局编年坐标与认知差（Dramatic Irony）设计</w:t>
            </w:r>
          </w:p>
        </w:tc>
      </w:tr>
      <w:tr>
        <w:trPr>
          <w:cantSplit/>
        </w:trPr>
        <w:tc>
          <w:tcPr>
            <w:tcW w:type="dxa" w:w="302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A账：故事宇宙客观顺时序</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按真实客观时间先后顺序梳理从前史到终局的完整编年大事记</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B账：成片叙事呈现序</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拆解非线性剪辑、倒叙/插叙/闪回缝合点与跨集悬念披露节奏</w:t>
            </w:r>
          </w:p>
        </w:tc>
      </w:tr>
      <w:tr>
        <w:trPr>
          <w:cantSplit/>
        </w:trPr>
        <w:tc>
          <w:tcPr>
            <w:tcW w:type="dxa" w:w="302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C账：多角色认知与信息差</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精准标注各阶段不同角色掌握的信息盲区与由此产生的戏剧反讽张力</w:t>
            </w:r>
          </w:p>
        </w:tc>
      </w:tr>
    </w:tbl>
    <w:p>
      <w:pPr>
        <w:spacing w:before="240" w:after="80" w:line="384" w:lineRule="auto"/>
        <w:jc w:val="left"/>
      </w:pPr>
      <w:r>
        <w:rPr>
          <w:rFonts w:ascii="Arial" w:hAnsi="Arial" w:eastAsia="黑体"/>
          <w:b/>
          <w:color w:val="142850"/>
          <w:sz w:val="27"/>
        </w:rPr>
        <w:t>第五编　全剧人物群像体系、关系拓扑与独立角色设定总纲（对应《05_核心人物一人一档》）</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角色独立档案编号与标准名称</w:t>
            </w:r>
          </w:p>
        </w:tc>
        <w:tc>
          <w:tcPr>
            <w:tcW w:type="dxa" w:w="73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全身视觉造型基准与全剧核心人物弧光（严禁标注演员姓名）</w:t>
            </w:r>
          </w:p>
        </w:tc>
      </w:tr>
      <w:tr>
        <w:trPr>
          <w:cantSplit/>
        </w:trPr>
        <w:tc>
          <w:tcPr>
            <w:tcW w:type="dxa" w:w="302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人物01：核心男主角</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【全身造型基准】身高体型、面部骨相、标志性内搭与外装硬锁</w:t>
              <w:br/>
              <w:t>【全剧人物弧光】从初始缺陷/执念到中点危机，再到终局觉醒的完整心理轨迹</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人物02—人物N：全部独立角色</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按一人一档顺序逐一列出全剧所有重要角色（不设合集，不标演员名）</w:t>
            </w:r>
          </w:p>
        </w:tc>
      </w:tr>
    </w:tbl>
    <w:p>
      <w:pPr>
        <w:spacing w:before="240" w:after="80" w:line="384" w:lineRule="auto"/>
        <w:jc w:val="left"/>
      </w:pPr>
      <w:r>
        <w:rPr>
          <w:rFonts w:ascii="Arial" w:hAnsi="Arial" w:eastAsia="黑体"/>
          <w:b/>
          <w:color w:val="142850"/>
          <w:sz w:val="27"/>
        </w:rPr>
        <w:t>第六编　全剧独立场景空间拓扑与核心道具工程设定总表（对应《06_核心场景一景一档》）</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场景/道具独立编号与标准名称</w:t>
            </w:r>
          </w:p>
        </w:tc>
        <w:tc>
          <w:tcPr>
            <w:tcW w:type="dxa" w:w="73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物理视觉外观、光影色温方案与跨集叙事闭环功能</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场景01—场景M：全部独立场景</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【主色调与材质肌理】外立面至内部陈设参数</w:t>
              <w:br/>
              <w:t>【标准色温与光影】日夜四季色温编码</w:t>
              <w:br/>
              <w:t>【核心戏剧功能】承载的全剧重头戏</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核心道具01—道具K：关键信物</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【物理外观与微距文字】尺寸、材质、色彩、表面印刷/手写文字原文（100%对齐原片特写）</w:t>
              <w:br/>
              <w:t>【跨集流转闭环】首次出现、流转变化与终局回收</w:t>
            </w:r>
          </w:p>
        </w:tc>
      </w:tr>
    </w:tbl>
    <w:p>
      <w:pPr>
        <w:spacing w:before="240" w:after="80" w:line="384" w:lineRule="auto"/>
        <w:jc w:val="left"/>
      </w:pPr>
      <w:r>
        <w:rPr>
          <w:rFonts w:ascii="Arial" w:hAnsi="Arial" w:eastAsia="黑体"/>
          <w:b/>
          <w:color w:val="142850"/>
          <w:sz w:val="27"/>
        </w:rPr>
        <w:t>第七编　宏观戏剧结构与全剧标准分集剧情大纲（EP01—EPXX）</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集数、片名与场次规模</w:t>
            </w:r>
          </w:p>
        </w:tc>
        <w:tc>
          <w:tcPr>
            <w:tcW w:type="dxa" w:w="73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单集标准剧情大纲、核心冲突与片尾断章尾钩（Cliffhanger）</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EP01《单集片名》（共 N 场）</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完整概括本集激励事件、双线推进、中点反转、高潮决断与片尾钩子（必须100%对齐定稿文学剧本）</w:t>
            </w:r>
          </w:p>
        </w:tc>
      </w:tr>
    </w:tbl>
    <w:p>
      <w:pPr>
        <w:spacing w:before="240" w:after="80" w:line="384" w:lineRule="auto"/>
        <w:jc w:val="left"/>
      </w:pPr>
      <w:r>
        <w:rPr>
          <w:rFonts w:ascii="Arial" w:hAnsi="Arial" w:eastAsia="黑体"/>
          <w:b/>
          <w:color w:val="142850"/>
          <w:sz w:val="27"/>
        </w:rPr>
        <w:t>第八编　全剧逐集六维剧作结构、悬念节奏与视听解码标准实录</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模块说明</w:t>
            </w:r>
          </w:p>
        </w:tc>
        <w:tc>
          <w:tcPr>
            <w:tcW w:type="dxa" w:w="73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执行标准</w:t>
            </w:r>
          </w:p>
        </w:tc>
      </w:tr>
      <w:tr>
        <w:trPr>
          <w:cantSplit/>
        </w:trPr>
        <w:tc>
          <w:tcPr>
            <w:tcW w:type="dxa" w:w="302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逐集嵌入六维五表解码</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按集完整嵌入每集六大深度章节与5张2列出版级宽表（零重复副标题、零压扁表格残片）</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