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96" w:lineRule="auto"/>
        <w:jc w:val="center"/>
      </w:pPr>
      <w:r>
        <w:t>《项目示例》</w:t>
      </w:r>
    </w:p>
    <w:p>
      <w:pPr>
        <w:spacing w:before="0" w:after="120" w:line="396" w:lineRule="auto"/>
        <w:jc w:val="center"/>
      </w:pPr>
      <w:r>
        <w:t>THE 项目示例 OF TIME</w:t>
      </w:r>
    </w:p>
    <w:p>
      <w:pPr>
        <w:spacing w:before="0" w:after="360" w:line="396" w:lineRule="auto"/>
        <w:jc w:val="center"/>
      </w:pPr>
      <w:r>
        <w:rPr>
          <w:rFonts w:ascii="Arial" w:hAnsi="Arial" w:eastAsia="黑体"/>
          <w:b/>
          <w:color w:val="111111"/>
          <w:sz w:val="30"/>
        </w:rPr>
        <w:t>EP01　《单集片名》（标准模板）</w:t>
      </w:r>
    </w:p>
    <w:p>
      <w:pPr>
        <w:spacing w:before="280" w:after="120" w:line="396" w:lineRule="auto"/>
        <w:jc w:val="left"/>
      </w:pPr>
      <w:r>
        <w:rPr>
          <w:rFonts w:ascii="Arial" w:hAnsi="Arial" w:eastAsia="黑体"/>
          <w:b/>
          <w:color w:val="111111"/>
          <w:sz w:val="23"/>
        </w:rPr>
        <w:t>1-1　外　主场景名·具体子空间（可选时代年份如1998/2008） — 夜</w:t>
      </w:r>
    </w:p>
    <w:p>
      <w:pPr>
        <w:spacing w:before="80" w:after="120" w:line="396" w:lineRule="auto"/>
        <w:jc w:val="left"/>
      </w:pPr>
      <w:r>
        <w:rPr>
          <w:rFonts w:ascii="Times New Roman" w:hAnsi="Times New Roman" w:eastAsia="宋体"/>
          <w:b w:val="0"/>
          <w:color w:val="111111"/>
          <w:sz w:val="22"/>
        </w:rPr>
        <w:t>【环境与视听起幅描写】在此处用纯文学语言描写开场环境、光影氛围、环境音效与人物初始走位状态（严禁使用“”符号、“（）”括号或“Shot #”镜头号；严禁标注演员姓名）。</w:t>
      </w:r>
    </w:p>
    <w:p>
      <w:pPr>
        <w:spacing w:before="160" w:after="20" w:line="396" w:lineRule="auto"/>
        <w:jc w:val="center"/>
      </w:pPr>
      <w:r>
        <w:rPr>
          <w:rFonts w:ascii="Arial" w:hAnsi="Arial" w:eastAsia="黑体"/>
          <w:b/>
          <w:color w:val="111111"/>
          <w:sz w:val="22"/>
        </w:rPr>
        <w:t>角色甲</w:t>
      </w:r>
    </w:p>
    <w:p>
      <w:pPr>
        <w:spacing w:before="20" w:after="160" w:line="396" w:lineRule="auto"/>
        <w:ind w:left="2160" w:right="1440"/>
        <w:jc w:val="left"/>
      </w:pPr>
      <w:r>
        <w:rPr>
          <w:rFonts w:ascii="Times New Roman" w:hAnsi="Times New Roman" w:eastAsia="宋体"/>
          <w:b w:val="0"/>
          <w:color w:val="111111"/>
          <w:sz w:val="22"/>
        </w:rPr>
        <w:t>这是第一句标准角色台词，角色名独立居中加粗，台词左缩进108pt、右缩进72pt，且不加首尾引号。</w:t>
      </w:r>
    </w:p>
    <w:p>
      <w:pPr>
        <w:spacing w:before="80" w:after="120" w:line="396" w:lineRule="auto"/>
        <w:jc w:val="left"/>
      </w:pPr>
      <w:r>
        <w:rPr>
          <w:rFonts w:ascii="Times New Roman" w:hAnsi="Times New Roman" w:eastAsia="宋体"/>
          <w:b w:val="0"/>
          <w:color w:val="111111"/>
          <w:sz w:val="22"/>
        </w:rPr>
        <w:t>【强制微动作与神态穿插】根据断言8（max_consec == 1），每两句台词之间必须穿插原片真实的微动作、眼神变化或道具交互（如：角色乙握着听筒的手微微颤抖，垂下眼帘摩挲着桌面上的旧钢笔，停顿两秒后才抬起头开口），严禁连续堆砌裸对白。</w:t>
      </w:r>
    </w:p>
    <w:p>
      <w:pPr>
        <w:spacing w:before="160" w:after="20" w:line="396" w:lineRule="auto"/>
        <w:jc w:val="center"/>
      </w:pPr>
      <w:r>
        <w:rPr>
          <w:rFonts w:ascii="Arial" w:hAnsi="Arial" w:eastAsia="黑体"/>
          <w:b/>
          <w:color w:val="111111"/>
          <w:sz w:val="22"/>
        </w:rPr>
        <w:t>角色乙</w:t>
      </w:r>
    </w:p>
    <w:p>
      <w:pPr>
        <w:spacing w:before="20" w:after="160" w:line="396" w:lineRule="auto"/>
        <w:ind w:left="2160" w:right="1440"/>
        <w:jc w:val="left"/>
      </w:pPr>
      <w:r>
        <w:rPr>
          <w:rFonts w:ascii="Times New Roman" w:hAnsi="Times New Roman" w:eastAsia="宋体"/>
          <w:b w:val="0"/>
          <w:color w:val="111111"/>
          <w:sz w:val="22"/>
        </w:rPr>
        <w:t>这是回应的第二句台词。通过“一句对白＋一段精准微动作神态”的交替韵律，确保剧本具备极强的画面还原度与表演指导价值。</w:t>
      </w:r>
    </w:p>
    <w:p>
      <w:pPr>
        <w:spacing w:before="120" w:after="160" w:line="396" w:lineRule="auto"/>
        <w:jc w:val="right"/>
      </w:pPr>
      <w:r>
        <w:rPr>
          <w:rFonts w:ascii="Arial" w:hAnsi="Arial" w:eastAsia="黑体"/>
          <w:b/>
          <w:color w:val="111111"/>
          <w:sz w:val="21"/>
        </w:rPr>
        <w:t>切至：</w:t>
      </w:r>
    </w:p>
    <w:p>
      <w:pPr>
        <w:spacing w:before="280" w:after="120" w:line="396" w:lineRule="auto"/>
        <w:jc w:val="left"/>
      </w:pPr>
      <w:r>
        <w:rPr>
          <w:rFonts w:ascii="Arial" w:hAnsi="Arial" w:eastAsia="黑体"/>
          <w:b/>
          <w:color w:val="111111"/>
          <w:sz w:val="23"/>
        </w:rPr>
        <w:t>1-2　内　第二主场景·具体子空间 — 日</w:t>
      </w:r>
    </w:p>
    <w:p>
      <w:pPr>
        <w:spacing w:before="160" w:after="80" w:line="396" w:lineRule="auto"/>
        <w:jc w:val="left"/>
      </w:pPr>
      <w:r>
        <w:rPr>
          <w:rFonts w:ascii="Arial" w:hAnsi="Arial" w:eastAsia="黑体"/>
          <w:b/>
          <w:color w:val="111111"/>
          <w:sz w:val="22"/>
        </w:rPr>
        <w:t>开始音乐蒙太奇：</w:t>
      </w:r>
    </w:p>
    <w:p>
      <w:pPr>
        <w:spacing w:before="80" w:after="120" w:line="396" w:lineRule="auto"/>
        <w:jc w:val="left"/>
      </w:pPr>
      <w:r>
        <w:rPr>
          <w:rFonts w:ascii="Times New Roman" w:hAnsi="Times New Roman" w:eastAsia="宋体"/>
          <w:b w:val="0"/>
          <w:color w:val="111111"/>
          <w:sz w:val="22"/>
        </w:rPr>
        <w:t>【音乐蒙太奇段落描写】在此描写伴随插曲展开的多组平行画面与人物状态演进。</w:t>
      </w:r>
    </w:p>
    <w:p>
      <w:pPr>
        <w:spacing w:before="160" w:after="80" w:line="396" w:lineRule="auto"/>
        <w:jc w:val="left"/>
      </w:pPr>
      <w:r>
        <w:rPr>
          <w:rFonts w:ascii="Arial" w:hAnsi="Arial" w:eastAsia="黑体"/>
          <w:b/>
          <w:color w:val="111111"/>
          <w:sz w:val="22"/>
        </w:rPr>
        <w:t>结束音乐蒙太奇。</w:t>
      </w:r>
    </w:p>
    <w:p>
      <w:pPr>
        <w:spacing w:before="80" w:after="120" w:line="396" w:lineRule="auto"/>
        <w:jc w:val="left"/>
      </w:pPr>
      <w:r>
        <w:rPr>
          <w:rFonts w:ascii="Times New Roman" w:hAnsi="Times New Roman" w:eastAsia="宋体"/>
          <w:b w:val="0"/>
          <w:color w:val="111111"/>
          <w:sz w:val="22"/>
        </w:rPr>
        <w:t>本集最后一场核心断章（Cliffhanger）动作与神态定格描写，将悬念推向最高潮。</w:t>
      </w:r>
    </w:p>
    <w:p>
      <w:pPr>
        <w:spacing w:before="160" w:after="20" w:line="396" w:lineRule="auto"/>
        <w:jc w:val="center"/>
      </w:pPr>
      <w:r>
        <w:rPr>
          <w:rFonts w:ascii="Arial" w:hAnsi="Arial" w:eastAsia="黑体"/>
          <w:b/>
          <w:color w:val="111111"/>
          <w:sz w:val="22"/>
        </w:rPr>
        <w:t>角色甲</w:t>
      </w:r>
    </w:p>
    <w:p>
      <w:pPr>
        <w:spacing w:before="20" w:after="160" w:line="396" w:lineRule="auto"/>
        <w:ind w:left="2160" w:right="1440"/>
        <w:jc w:val="left"/>
      </w:pPr>
      <w:r>
        <w:rPr>
          <w:rFonts w:ascii="Times New Roman" w:hAnsi="Times New Roman" w:eastAsia="宋体"/>
          <w:b w:val="0"/>
          <w:color w:val="111111"/>
          <w:sz w:val="22"/>
        </w:rPr>
        <w:t>本集收尾点睛台词。</w:t>
      </w:r>
    </w:p>
    <w:p>
      <w:pPr>
        <w:spacing w:before="160" w:after="80" w:line="396" w:lineRule="auto"/>
        <w:jc w:val="left"/>
      </w:pPr>
      <w:r>
        <w:rPr>
          <w:rFonts w:ascii="Arial" w:hAnsi="Arial" w:eastAsia="黑体"/>
          <w:b/>
          <w:color w:val="111111"/>
          <w:sz w:val="22"/>
        </w:rPr>
        <w:t>*开始片尾音乐：</w:t>
      </w:r>
    </w:p>
    <w:p>
      <w:pPr>
        <w:spacing w:before="120" w:after="160" w:line="396" w:lineRule="auto"/>
        <w:jc w:val="right"/>
      </w:pPr>
      <w:r>
        <w:rPr>
          <w:rFonts w:ascii="Arial" w:hAnsi="Arial" w:eastAsia="黑体"/>
          <w:b/>
          <w:color w:val="111111"/>
          <w:sz w:val="21"/>
        </w:rPr>
        <w:t>切至黑屏，片尾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color w:val="555555"/>
        <w:sz w:val="20"/>
      </w:rPr>
      <w:t>EP01</w:t>
      <w:tab/>
      <w:tab/>
    </w:r>
    <w:r>
      <w:rPr>
        <w:rFonts w:ascii="Times New Roman" w:hAnsi="Times New Roman"/>
        <w:color w:val="555555"/>
        <w:sz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