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384" w:lineRule="auto"/>
        <w:jc w:val="center"/>
      </w:pPr>
      <w:r>
        <w:rPr>
          <w:rFonts w:ascii="Arial" w:hAnsi="Arial" w:eastAsia="黑体"/>
          <w:b/>
          <w:color w:val="192D55"/>
          <w:sz w:val="31"/>
        </w:rPr>
        <w:t>场景01　标准主场景名称（含所属核心子空间清单）</w:t>
      </w:r>
    </w:p>
    <w:p>
      <w:pPr>
        <w:spacing w:before="0" w:after="24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《剧名》独立完整场景空间结构与多视角动线全档（一景一档五章制标准模板｜不设总集合集｜严禁末尾凑数大表）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场景核心工程参数与视觉美学总卡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工程与美学设定维度</w:t>
            </w:r>
          </w:p>
        </w:tc>
        <w:tc>
          <w:tcPr>
            <w:tcW w:type="dxa" w:w="777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全剧标准定稿设定参数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空间标准名称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全库统一锁定的唯一标准场景名称（消除原片道具穿帮混写）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地理位置与建筑坐标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城市区域、建筑楼层与周边相邻场景的空间关系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所属时空纪元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该场景出现的具体年代与叙事阶段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建筑形制与空间尺度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建筑风格、户型格局、面积跨度与层高参数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主色调与材质肌理体系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墙面、地面、天花板、护墙板与核心软装的主色调及材质肌理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标准色温与光影方案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日景/夜景/四季标准色温（K值）与主辅光源布置方案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环境声场与听觉基底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该空间标志性的环境背景音与特定道具音效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标志性陈设与道具锚点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列出该场景内最具辨识度的核心家具、挂件與戏剧道具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核心戏剧功能与美学隐喻</w:t>
            </w:r>
          </w:p>
        </w:tc>
        <w:tc>
          <w:tcPr>
            <w:tcW w:type="dxa" w:w="77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提炼该空间在全剧中的戏剧承载功能与精神隐喻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场景整体空间全貌、建筑结构与陈设细节全景详述（从外立面到内部陈设的立体细描）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在此分小节（外立面与入口门廊、主厅平面格局与墙地面肌理、各子房间家具陈设与生活痕迹）进行置景施工图级别的立体白描，确保美术师或生图模型仅凭本文档即可100%还原场景的每一个角落。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子空间功能分区、平面拓扑关系与多视角镜头动线全解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子空间分区与方位坐标</w:t>
            </w:r>
          </w:p>
        </w:tc>
        <w:tc>
          <w:tcPr>
            <w:tcW w:type="dxa" w:w="77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标志性陈设道具、机位轴线与人物进出动线详解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子空间A（如玄关与餐厅区）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【标志性美术陈设与道具锚点】……</w:t>
              <w:br/>
              <w:br/>
              <w:t>【镜头轴线与动线功能】详述常用机位角度、焦段、景深遮挡关系及承载的核心走位调度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第四章　跨时期视觉演变、光影色温体系与视听调度深度解析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深入剖析该场景在不同时代、不同季节或不同戏剧阶段中的陈设变化、光影色温对比与情感氛围转换。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第五章　全剧发生于本场景的核心戏剧事件与名场面完整纪实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按时间顺序将全剧中发生在该场景的所有核心重头戏、人物交锋、空间利用方式与道具交互完整融会贯通地写透（注：严禁在第五章之后附加自动抓取凑数的“第六章 全剧分集落点大表”）。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