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384" w:lineRule="auto"/>
        <w:jc w:val="center"/>
      </w:pPr>
      <w:r>
        <w:rPr>
          <w:rFonts w:ascii="Arial" w:hAnsi="Arial" w:eastAsia="黑体"/>
          <w:b/>
          <w:color w:val="142850"/>
          <w:sz w:val="30"/>
        </w:rPr>
        <w:t>EP01《单集片名》　全人物正面面部核验、跨时空造型与服化道实证总表（过程模板）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核验编号与角色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出场时间码与场次</w:t>
            </w:r>
          </w:p>
        </w:tc>
        <w:tc>
          <w:tcPr>
            <w:tcW w:type="dxa" w:w="60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面部骨相特征、全身从头到脚穿搭与关键道具微距实证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C01：角色名（状态）</w:t>
            </w:r>
          </w:p>
        </w:tc>
        <w:tc>
          <w:tcPr>
            <w:tcW w:type="dxa" w:w="20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第1-1场 [00:45.2]</w:t>
            </w:r>
          </w:p>
        </w:tc>
        <w:tc>
          <w:tcPr>
            <w:tcW w:type="dxa" w:w="60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【面部特征】……</w:t>
              <w:br/>
              <w:t>【全身穿搭】……</w:t>
              <w:br/>
              <w:t>【手持道具与动作】……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