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384" w:lineRule="auto"/>
        <w:jc w:val="center"/>
      </w:pPr>
      <w:r>
        <w:rPr>
          <w:rFonts w:ascii="Arial" w:hAnsi="Arial" w:eastAsia="黑体"/>
          <w:b/>
          <w:color w:val="142850"/>
          <w:sz w:val="32"/>
        </w:rPr>
        <w:t>《影视剧与视频全流程工业级拉片拆解与出版级交付总控宪章》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20"/>
        </w:rPr>
        <w:t>（通用标准模板 V1.0｜防上下文失忆 · 台词人物零出错 · 8道剧本格式断言 · 出版级成品规范）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全流程核心铁律模块</w:t>
            </w:r>
          </w:p>
        </w:tc>
        <w:tc>
          <w:tcPr>
            <w:tcW w:type="dxa" w:w="734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强制执行标准与防出错操作规范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铁律一：五分钟切片多模态精看与微距抽帧核验</w:t>
            </w:r>
          </w:p>
        </w:tc>
        <w:tc>
          <w:tcPr>
            <w:tcW w:type="dxa" w:w="734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严禁对长视频一次性笼统概括！必须按 5–6 分钟切片逐段调用多模态工具精看画面、逐字听写台词，并用 OpenCV 抽取 16 张角色正脸（C01–C16）与 16 张道具/屏幕微距文字（P01–P16），确保台词、名字、数字 100% 零幻觉。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铁律二：文学剧本定稿即锁死（唯一事实基准 SSOT）</w:t>
            </w:r>
          </w:p>
        </w:tc>
        <w:tc>
          <w:tcPr>
            <w:tcW w:type="dxa" w:w="734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单集《专业文学剧本》经原片逐秒核验通过 8 道断言落盘后，其正文内容即作为全库唯一事实基准（Single Source of Truth）锁死保护，后续严禁凭模糊记忆反向改动剧本正文；全剧剧本汇总只保留唯一一本纯净《01_全剧专业文学剧本总本》，不拆白昼/黄昏/黑夜等分卷本。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铁律三：防上下文压缩失忆（按集回读剧本校准法）</w:t>
            </w:r>
          </w:p>
        </w:tc>
        <w:tc>
          <w:tcPr>
            <w:tcW w:type="dxa" w:w="734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大模型跨多集长对话极易因上下文压缩产生记忆偏差（如张冠李戴、颠倒谁说了哪句话、混入早期未核实草稿）。因此在撰写或更新《人物小传》《场景档案》《世界观总论》时，严禁凭压缩记忆一次性概括全剧，必须一集一集回读定稿剧本原文进行校准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铁律四：一人一档、一景一档、去总集、去演员名、去凑数表</w:t>
            </w:r>
          </w:p>
        </w:tc>
        <w:tc>
          <w:tcPr>
            <w:tcW w:type="dxa" w:w="734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① 人物小传与场景档案不需要合订本总集（删除 03/04 总集）；② 必须真正做到单个人物一个独立文件、单个场景一个独立文件，严禁多角色/多场景打包；③ 全库成品去除“（XX饰）”等演员名标注，回归纯粹剧作角色本位；④ 人物必须包含从头到脚全身详细描述与完整事件纪实；⑤ 严禁在人物和场景单档末尾附加自动抓取凑数的“分集场次落点大表”！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铁律五：文学剧本 8 道格式断言与片尾标准格式</w:t>
            </w:r>
          </w:p>
        </w:tc>
        <w:tc>
          <w:tcPr>
            <w:tcW w:type="dxa" w:w="734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零表格、零导读框、零△符号、零〔〕括号、零Shot号、场次100%匹配、角色名居中加粗＋台词缩进无引号、每两句对白间必穿插真实微动作（max_consec==1）；每集片尾统一为左顶格加粗【*开始片尾音乐：】＋右对齐加粗【切至黑屏，片尾】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铁律六：原片道具穿帮的统一标准化处理</w:t>
            </w:r>
          </w:p>
        </w:tc>
        <w:tc>
          <w:tcPr>
            <w:tcW w:type="dxa" w:w="734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当原片剧组在前后不同集数出现门牌/信封地址等小穿帮（如身份证印“福慧家园”而后期外景信箱写“幸福家园”）时，在过程库如实记录原片画面，但在成品库（人物小传、场景档案、总论）中必须统一锁定为主设定标准名称，严禁并列混写造成阅读困惑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