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84" w:lineRule="auto"/>
        <w:jc w:val="center"/>
      </w:pPr>
      <w:r>
        <w:rPr>
          <w:rFonts w:ascii="Arial" w:hAnsi="Arial" w:eastAsia="黑体"/>
          <w:b/>
          <w:color w:val="142850"/>
          <w:sz w:val="32"/>
        </w:rPr>
        <w:t>全流程把控尺三：草蛇灰线、长线伏笔三步埋设法与道具闭环工程母版</w:t>
      </w:r>
    </w:p>
    <w:p>
      <w:pPr>
        <w:spacing w:before="0" w:after="280" w:line="384" w:lineRule="auto"/>
        <w:jc w:val="center"/>
      </w:pPr>
      <w:r>
        <w:rPr>
          <w:rFonts w:ascii="Times New Roman" w:hAnsi="Times New Roman" w:eastAsia="宋体"/>
          <w:b w:val="0"/>
          <w:color w:val="5A5A5A"/>
          <w:sz w:val="20"/>
        </w:rPr>
        <w:t>（全剧因果锁眼与道具工程总控｜三步埋设法则 ＋《三人行》12大伏笔全解 ＋ 新剧伏笔规划母版）</w:t>
      </w:r>
    </w:p>
    <w:p>
      <w:pPr>
        <w:spacing w:before="200" w:after="80" w:line="384" w:lineRule="auto"/>
        <w:jc w:val="left"/>
      </w:pPr>
      <w:r>
        <w:rPr>
          <w:rFonts w:ascii="Arial" w:hAnsi="Arial" w:eastAsia="黑体"/>
          <w:b/>
          <w:color w:val="192D55"/>
          <w:sz w:val="26"/>
        </w:rPr>
        <w:t>第一章　把控法则：长线伏笔“初埋—唤醒—颠覆回收”三步工程法</w:t>
      </w:r>
    </w:p>
    <w:p>
      <w:pPr>
        <w:spacing w:before="40" w:after="100" w:line="384" w:lineRule="auto"/>
        <w:ind w:firstLine="420"/>
        <w:jc w:val="left"/>
      </w:pPr>
      <w:r>
        <w:rPr>
          <w:rFonts w:ascii="Times New Roman" w:hAnsi="Times New Roman" w:eastAsia="宋体"/>
          <w:b w:val="0"/>
          <w:color w:val="141414"/>
          <w:sz w:val="21"/>
        </w:rPr>
        <w:t>顶级剧作与平庸剧本最大的分水岭，在于【伏笔与道具的工程化闭环能力】。平庸剧本到了大结局往往靠“突然出现的新人物/新设定（机械降神）”强行解围；而顶级剧本（如《三人行》）在大结局第23、24集引爆的所有破局武器，100% 都在前8集以看似漫不经心的生活细节或喜剧闲笔提前埋好了。</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伏笔工程三阶段</w:t>
            </w:r>
          </w:p>
        </w:tc>
        <w:tc>
          <w:tcPr>
            <w:tcW w:type="dxa" w:w="46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编剧设计法则与观众心理操控技巧</w:t>
            </w:r>
          </w:p>
        </w:tc>
        <w:tc>
          <w:tcPr>
            <w:tcW w:type="dxa" w:w="331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避坑指南（严禁出现的败笔）</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第一步：无痕初埋</w:t>
              <w:br/>
              <w:t>（Planting with Camouflage）</w:t>
            </w:r>
          </w:p>
        </w:tc>
        <w:tc>
          <w:tcPr>
            <w:tcW w:type="dxa" w:w="46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第一阶段（前1/3集数）植入核心道具、台词或人物特征时，必须给它披上一件“合理的日常/喜剧/情感外衣”，让观众以为它只是服务于当场戏的普通细节，绝不能让观众一眼看穿“这是为大结局准备的道具”。</w:t>
            </w:r>
          </w:p>
        </w:tc>
        <w:tc>
          <w:tcPr>
            <w:tcW w:type="dxa" w:w="331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严禁对伏笔进行脱离剧情的生硬特写或借角色之口说“这件东西以后一定有用”。</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第二步：中途唤醒与障眼变奏</w:t>
              <w:br/>
              <w:t>（Reminder &amp; Misdirection）</w:t>
            </w:r>
          </w:p>
        </w:tc>
        <w:tc>
          <w:tcPr>
            <w:tcW w:type="dxa" w:w="46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在剧集中段（第9—20集），必须让该伏笔至少再出现或被提及 1—2 次，且赋予它新的状态变化（如伤疤突然消失、道具易主、尝试用错误方式解决），既防止观众遗忘，又用障眼法加深悬念。</w:t>
            </w:r>
          </w:p>
        </w:tc>
        <w:tc>
          <w:tcPr>
            <w:tcW w:type="dxa" w:w="331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严禁在EP01埋下伏笔后整整20集只字不提，直到大结局才突然掏出来（观众早已忘光）。</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第三步：终局颠覆回收</w:t>
              <w:br/>
              <w:t>（Subversive Payoff）</w:t>
            </w:r>
          </w:p>
        </w:tc>
        <w:tc>
          <w:tcPr>
            <w:tcW w:type="dxa" w:w="46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在大结局最高潮处，将原本看似微不足道的细节，上升为决定主角生死或打破宿命死局的唯一钥匙，让观众产生“原来如此！前面所有的坑全都严丝合缝合上了”的颅内高潮。</w:t>
            </w:r>
          </w:p>
        </w:tc>
        <w:tc>
          <w:tcPr>
            <w:tcW w:type="dxa" w:w="331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严禁虎头蛇尾、有坑不填，或让核心信物在结局沦为无意义的摆设。</w:t>
            </w:r>
          </w:p>
        </w:tc>
      </w:tr>
    </w:tbl>
    <w:p>
      <w:pPr>
        <w:spacing w:before="240" w:after="80" w:line="384" w:lineRule="auto"/>
        <w:jc w:val="left"/>
      </w:pPr>
      <w:r>
        <w:rPr>
          <w:rFonts w:ascii="Arial" w:hAnsi="Arial" w:eastAsia="黑体"/>
          <w:b/>
          <w:color w:val="192D55"/>
          <w:sz w:val="26"/>
        </w:rPr>
        <w:t>第二章　《三人行》12 大神级“草蛇灰线”伏笔与道具闭环全解（标杆教材）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 / 核心道具名称</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“初埋 ➔ 唤醒变奏 ➔ 终局颠覆回收”三步完整工程链解析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【初埋（EP01）】：1998雪夜6岁赵左右在被荀未来踹碎的雪人旁重堆三个雪人（“三个雪人，三人成众”）。</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【中途引爆（EP11/EP14/EP20）】：EP11陈明在广播室自曝偷打CS秘密为赵左右作证而退学；EP14三代人门缝塞真相纸条；EP20三人将拍探店广告攒下的钱装进“答案箱”铁罐留在5元快餐店。</w:t>
              <w:br/>
              <w:t>• 【终局回收（EP24）】：2009秋陈明背书包在孔子像前阳光复学（“谢谢你的字条，字丑了点，以后别写了”），2010高考火锅宴神级拆解数学压轴题。</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【初埋（EP16–18）】：2008年32岁的余博士原本不信时空穿越，习惯思考时咬银色笔尾；因亲眼目睹小雪在2388套房白光中凭空消失，受惊逃往鲁多维科群岛闭关研发时空虫洞。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40" w:after="80" w:line="384" w:lineRule="auto"/>
        <w:jc w:val="left"/>
      </w:pPr>
      <w:r>
        <w:rPr>
          <w:rFonts w:ascii="Arial" w:hAnsi="Arial" w:eastAsia="黑体"/>
          <w:b/>
          <w:color w:val="192D55"/>
          <w:sz w:val="26"/>
        </w:rPr>
        <w:t>第三章　【新剧复用模板】新项目长线伏笔与核心道具三步埋设规划表</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rPr>
          <w:tblHeader/>
          <w:cantSplit/>
        </w:trPr>
        <w:tc>
          <w:tcPr>
            <w:tcW w:type="dxa" w:w="23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伏笔/道具编号与名称</w:t>
            </w:r>
          </w:p>
        </w:tc>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第一步：初埋集数与伪装外衣</w:t>
            </w:r>
          </w:p>
        </w:tc>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第二步：中途唤醒/变奏集数</w:t>
            </w:r>
          </w:p>
        </w:tc>
        <w:tc>
          <w:tcPr>
            <w:tcW w:type="dxa" w:w="273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第三步：大结局颠覆回收方式</w:t>
            </w:r>
          </w:p>
        </w:tc>
      </w:tr>
      <w:tr>
        <w:trPr>
          <w:cantSplit/>
        </w:trPr>
        <w:tc>
          <w:tcPr>
            <w:tcW w:type="dxa" w:w="230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伏笔01（终极破局锁眼）</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EP__：以________日常细节自然植入</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EP__：发生________变化或误导</w:t>
            </w:r>
          </w:p>
        </w:tc>
        <w:tc>
          <w:tcPr>
            <w:tcW w:type="dxa" w:w="273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EP__：作为________唯一钥匙完成终局绝杀</w:t>
            </w:r>
          </w:p>
        </w:tc>
      </w:tr>
      <w:tr>
        <w:trPr>
          <w:cantSplit/>
        </w:trPr>
        <w:tc>
          <w:tcPr>
            <w:tcW w:type="dxa" w:w="23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伏笔02（主角身份/情感信物）</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EP__：________________</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EP__：________________</w:t>
            </w:r>
          </w:p>
        </w:tc>
        <w:tc>
          <w:tcPr>
            <w:tcW w:type="dxa" w:w="273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EP__：________________</w:t>
            </w:r>
          </w:p>
        </w:tc>
      </w:tr>
      <w:tr>
        <w:trPr>
          <w:cantSplit/>
        </w:trPr>
        <w:tc>
          <w:tcPr>
            <w:tcW w:type="dxa" w:w="23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伏笔03（配角救赎/反派倒戈锁）</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EP__：________________</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EP__：________________</w:t>
            </w:r>
          </w:p>
        </w:tc>
        <w:tc>
          <w:tcPr>
            <w:tcW w:type="dxa" w:w="273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EP__：________________</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