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2"/>
        </w:rPr>
        <w:t>全流程把控尺四：立体人物群像设计、表里反差公式与全身视觉硬锁母版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20"/>
        </w:rPr>
        <w:t>（一人一档人物塑造总控｜四维反差公式 ＋ 全身从头到脚视觉硬锁 ＋《三人行》群像设计范例）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第一章　把控法则：拒绝扁平工具人的“四维立体人物设计公式”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为什么很多剧本里的人物让人记不住？因为只写了“身份标签（如严父、学霸、校花、反派）”，没有写【表里反差】与【具体到骨相、内搭领口和习惯性微动作的视觉锚点】。在我们的全流程标准体系中，每一个角色（必须单人单档、不设合集、不标演员名字）在动笔写剧本前，必须先通过以下四维公式完成立体建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人物建模四维法则</w:t>
            </w:r>
          </w:p>
        </w:tc>
        <w:tc>
          <w:tcPr>
            <w:tcW w:type="dxa" w:w="352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正向设计标准与把控要点</w:t>
            </w:r>
          </w:p>
        </w:tc>
        <w:tc>
          <w:tcPr>
            <w:tcW w:type="dxa" w:w="43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《三人行》人物塑造黄金标杆实证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第一维：表里反差张力</w:t>
              <w:br/>
              <w:t>（外在保护壳 vs 内在软肋）</w:t>
            </w:r>
          </w:p>
        </w:tc>
        <w:tc>
          <w:tcPr>
            <w:tcW w:type="dxa" w:w="352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绝不写单一性格！严厉的人必有极度柔软的瞬间；乐观的人必有深藏的原生伤痛；世故的人必有未死的热血初心。</w:t>
            </w:r>
          </w:p>
        </w:tc>
        <w:tc>
          <w:tcPr>
            <w:tcW w:type="dxa" w:w="43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【荀未来】：表层是满口“性价比、沉没成本”的世故老油条 ⇄ 内里是为救亡妻甘愿在荒村破屋讨死鱼、咽冷汉堡、最终献祭自我的痴情汉；</w:t>
              <w:br/>
              <w:t>• 【赵东来】：表层是逼儿子学理科、暴怒撕书的专制严父 ⇄ 内里是看到卖土豆大娘像亡母就买一袋冻土豆、半夜在零下二十度翻遍十几个垃圾桶找碎稿的慈父；</w:t>
              <w:br/>
              <w:t>• 【王一漫】：表层是高冷孤傲的完美校花 ⇄ 内里是低血糖藏黄桃罐头、堆雪人必须搓成绝对“正圆”的强迫症反差萌少女。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第二维：全身从头到脚视觉硬锁</w:t>
              <w:br/>
              <w:t>（一秒防认错锚点）</w:t>
            </w:r>
          </w:p>
        </w:tc>
        <w:tc>
          <w:tcPr>
            <w:tcW w:type="dxa" w:w="352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不仅要写身高体态、脸型眉眼骨相，更要为每个角色建立【同穿制式服装（如校服/工服）时的第一视觉区分硬锁】及跨时期造型演变。</w:t>
            </w:r>
          </w:p>
        </w:tc>
        <w:tc>
          <w:tcPr>
            <w:tcW w:type="dxa" w:w="43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同样穿长林八中深蓝白条纹运动校服：</w:t>
              <w:br/>
              <w:t>• 【16岁赵左右】：校服内永远穿搭一件【酒红色连帽卫衣，且酒红色帽兜外翻在领口外】，左额光洁无疤（直至2012冬雪夜流血留疤）；</w:t>
              <w:br/>
              <w:t>• 【41岁荀未来】：校服内永远穿搭【纯白色立领拉链内衬（绝无外翻红帽兜）】，左额有月牙旧疤，户外罩黑色长款毛呢大衣；</w:t>
              <w:br/>
              <w:t>• 【66岁赵了】：头戴黑色毛呢礼帽/报童帽，围红黑苏格兰格纹围巾，左额有同款月牙旧疤。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第三维：专属微动作与生理本能</w:t>
              <w:br/>
              <w:t>（行为指纹）</w:t>
            </w:r>
          </w:p>
        </w:tc>
        <w:tc>
          <w:tcPr>
            <w:tcW w:type="dxa" w:w="352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为每个角色设计 1—2 个贯穿全剧的标志性习惯动作或生理本能，作为推动关键剧情转折的“行为指纹”。</w:t>
            </w:r>
          </w:p>
        </w:tc>
        <w:tc>
          <w:tcPr>
            <w:tcW w:type="dxa" w:w="43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【三代赵左右共有本能】：对菠萝过敏、极度怕酸、听到有人喊“赵左右”会在10秒内条件反射回头（EP13走廊掉马铁证）；</w:t>
              <w:br/>
              <w:t>• 【陈明专属神技】：踩在铁床横档或桌面上“2秒盲系白色帆布鞋鞋带”；</w:t>
              <w:br/>
              <w:t>• 【余博士跨50年习惯】：无论是32岁还是82岁，思考时习惯用银色触控笔/钢笔抵住唇角轻咬。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第四维：镜像对照组群像网络</w:t>
              <w:br/>
              <w:t>（Foil Characters）</w:t>
            </w:r>
          </w:p>
        </w:tc>
        <w:tc>
          <w:tcPr>
            <w:tcW w:type="dxa" w:w="352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通过“同境不同命”或“同命不同选”的对照组设计，让配角之间自然碰撞出主题火花，无需旁白说教。</w:t>
            </w:r>
          </w:p>
        </w:tc>
        <w:tc>
          <w:tcPr>
            <w:tcW w:type="dxa" w:w="43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【三组中国式家庭镜像】：501室赵家（吵闹却温暖的避风港） vs 1449室徐家（单亲清贫却极度开明包容） vs 飞霞湾王家（富足冷白却焊死防盗护栏的精英牢笼） vs 陈明家（寒门棍棒高压）。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