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Rule="auto"/>
        <w:ind w:left="862" w:hanging="719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“Desarrollo de Página Web para Papelería bp&amp;TEC”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Versión 1</w:t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Grupo: 8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Fecha:06/07/2023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24"/>
          <w:szCs w:val="24"/>
          <w:rtl w:val="0"/>
        </w:rPr>
        <w:t xml:space="preserve">Esta plantilla sólo se usará para elaborar los reportes de errores según los casos de prueba que se aplicarán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Nª 1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página de inicio para la papelería </w:t>
            </w:r>
            <w:r w:rsidDel="00000000" w:rsidR="00000000" w:rsidRPr="00000000">
              <w:rPr>
                <w:rtl w:val="0"/>
              </w:rPr>
              <w:t xml:space="preserve">bp&amp;TEC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20/07/2023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Página de Inicio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Arianys Burbano</w:t>
            </w:r>
          </w:p>
        </w:tc>
      </w:tr>
      <w:tr>
        <w:trPr>
          <w:cantSplit w:val="0"/>
          <w:trHeight w:val="244" w:hRule="atLeast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Tenemaza, Tinitana, Tituana, Tumipamba, Valdez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20/07/2023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CP-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F01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página de inicio tiene un diseño limpio y atractivo que refleja la identidad de la papelería "</w:t>
            </w:r>
            <w:r w:rsidDel="00000000" w:rsidR="00000000" w:rsidRPr="00000000">
              <w:rPr>
                <w:rtl w:val="0"/>
              </w:rPr>
              <w:t xml:space="preserve">bp&amp;TEC</w:t>
            </w:r>
            <w:r w:rsidDel="00000000" w:rsidR="00000000" w:rsidRPr="00000000">
              <w:rPr>
                <w:rtl w:val="0"/>
              </w:rPr>
              <w:t xml:space="preserve">". Fácil de navegar y con menús claros.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visualización de los productos no es clara, es importante que la página publique claramente para evitar confusiones o frustración a la hora de ser adquirido un producto por el cliente.</w:t>
            </w:r>
          </w:p>
          <w:p w:rsidR="00000000" w:rsidDel="00000000" w:rsidP="00000000" w:rsidRDefault="00000000" w:rsidRPr="00000000" w14:paraId="0000005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hoja de estilo del sitio de inicio, se añadió la propiedad de llenar el contenedor de imágenes por completo sin recortar estas.</w:t>
            </w:r>
          </w:p>
        </w:tc>
      </w:tr>
      <w:tr>
        <w:trPr>
          <w:cantSplit w:val="0"/>
          <w:trHeight w:val="3524.6484374999995" w:hRule="atLeast"/>
          <w:tblHeader w:val="1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CP-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F02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los productos más cotizados, se centra en aspectos importantes brindando una mejor experiencia por el aporte en lo que contiene el producto.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visualiza el valor comparativo entre los productos del carrusel.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 un error en funcionamiento al momento de pulsar en los diferentes productos, puesto que tenemos solamente una imagen referencial y solicita utilizar los botones de cambio de imágenes.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cambio realizado en la página web fue reemplazar el evento de dar clik en todo el cuerpo de la página web, al de dar click en imágenes únicamente del carrusel.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