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Incident and Emergency Access Policy</w:t>
      </w:r>
    </w:p>
    <w:p>
      <w:pPr>
        <w:pStyle w:val="Heading1"/>
      </w:pPr>
      <w:r>
        <w:t>1. Purpose and Scope</w:t>
      </w:r>
    </w:p>
    <w:p>
      <w:r>
        <w:t>This policy applies to all engineering and IT staff who hold access to production systems. It governs security incident escalation, two specific emergency access provisions, and the combined quarterly limit that applies across both of them.</w:t>
      </w:r>
    </w:p>
    <w:p>
      <w:pPr>
        <w:pStyle w:val="Heading1"/>
      </w:pPr>
      <w:r>
        <w:t>2. Security Incident Severity and Escalation</w:t>
      </w:r>
    </w:p>
    <w:p>
      <w:r>
        <w:t>Security incidents are classified by severity as shown below. Every P1 and P2 incident must be logged in the incident management system within 30 minutes of detection.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Description</w:t>
            </w:r>
          </w:p>
        </w:tc>
        <w:tc>
          <w:tcPr>
            <w:tcW w:type="dxa" w:w="2160"/>
          </w:tcPr>
          <w:p>
            <w:r>
              <w:t>Response SLA</w:t>
            </w:r>
          </w:p>
        </w:tc>
        <w:tc>
          <w:tcPr>
            <w:tcW w:type="dxa" w:w="2160"/>
          </w:tcPr>
          <w:p>
            <w:r>
              <w:t>Escalation Contact</w:t>
            </w:r>
          </w:p>
        </w:tc>
      </w:tr>
      <w:tr>
        <w:tc>
          <w:tcPr>
            <w:tcW w:type="dxa" w:w="2160"/>
          </w:tcPr>
          <w:p>
            <w:r>
              <w:t>P1 - Critical</w:t>
            </w:r>
          </w:p>
        </w:tc>
        <w:tc>
          <w:tcPr>
            <w:tcW w:type="dxa" w:w="2160"/>
          </w:tcPr>
          <w:p>
            <w:r>
              <w:t>Active data breach or full production outage</w:t>
            </w:r>
          </w:p>
        </w:tc>
        <w:tc>
          <w:tcPr>
            <w:tcW w:type="dxa" w:w="2160"/>
          </w:tcPr>
          <w:p>
            <w:r>
              <w:t>15 minutes</w:t>
            </w:r>
          </w:p>
        </w:tc>
        <w:tc>
          <w:tcPr>
            <w:tcW w:type="dxa" w:w="2160"/>
          </w:tcPr>
          <w:p>
            <w:r>
              <w:t>Chief Information Security Officer</w:t>
            </w:r>
          </w:p>
        </w:tc>
      </w:tr>
      <w:tr>
        <w:tc>
          <w:tcPr>
            <w:tcW w:type="dxa" w:w="2160"/>
          </w:tcPr>
          <w:p>
            <w:r>
              <w:t>P2 - High</w:t>
            </w:r>
          </w:p>
        </w:tc>
        <w:tc>
          <w:tcPr>
            <w:tcW w:type="dxa" w:w="2160"/>
          </w:tcPr>
          <w:p>
            <w:r>
              <w:t>Significant service degradation or suspected intrusion</w:t>
            </w:r>
          </w:p>
        </w:tc>
        <w:tc>
          <w:tcPr>
            <w:tcW w:type="dxa" w:w="2160"/>
          </w:tcPr>
          <w:p>
            <w:r>
              <w:t>1 hour</w:t>
            </w:r>
          </w:p>
        </w:tc>
        <w:tc>
          <w:tcPr>
            <w:tcW w:type="dxa" w:w="2160"/>
          </w:tcPr>
          <w:p>
            <w:r>
              <w:t>Security Operations Manager</w:t>
            </w:r>
          </w:p>
        </w:tc>
      </w:tr>
      <w:tr>
        <w:tc>
          <w:tcPr>
            <w:tcW w:type="dxa" w:w="2160"/>
          </w:tcPr>
          <w:p>
            <w:r>
              <w:t>P3 - Medium</w:t>
            </w:r>
          </w:p>
        </w:tc>
        <w:tc>
          <w:tcPr>
            <w:tcW w:type="dxa" w:w="2160"/>
          </w:tcPr>
          <w:p>
            <w:r>
              <w:t>Isolated vulnerability or contained incident</w:t>
            </w:r>
          </w:p>
        </w:tc>
        <w:tc>
          <w:tcPr>
            <w:tcW w:type="dxa" w:w="2160"/>
          </w:tcPr>
          <w:p>
            <w:r>
              <w:t>4 hours</w:t>
            </w:r>
          </w:p>
        </w:tc>
        <w:tc>
          <w:tcPr>
            <w:tcW w:type="dxa" w:w="2160"/>
          </w:tcPr>
          <w:p>
            <w:r>
              <w:t>IT Operations Manager</w:t>
            </w:r>
          </w:p>
        </w:tc>
      </w:tr>
      <w:tr>
        <w:tc>
          <w:tcPr>
            <w:tcW w:type="dxa" w:w="2160"/>
          </w:tcPr>
          <w:p>
            <w:r>
              <w:t>P4 - Low</w:t>
            </w:r>
          </w:p>
        </w:tc>
        <w:tc>
          <w:tcPr>
            <w:tcW w:type="dxa" w:w="2160"/>
          </w:tcPr>
          <w:p>
            <w:r>
              <w:t>Informational or low-risk finding</w:t>
            </w:r>
          </w:p>
        </w:tc>
        <w:tc>
          <w:tcPr>
            <w:tcW w:type="dxa" w:w="2160"/>
          </w:tcPr>
          <w:p>
            <w:r>
              <w:t>1 business day</w:t>
            </w:r>
          </w:p>
        </w:tc>
        <w:tc>
          <w:tcPr>
            <w:tcW w:type="dxa" w:w="2160"/>
          </w:tcPr>
          <w:p>
            <w:r>
              <w:t>IT Operations Manager</w:t>
            </w:r>
          </w:p>
        </w:tc>
      </w:tr>
    </w:tbl>
    <w:p>
      <w:pPr>
        <w:pStyle w:val="Heading1"/>
      </w:pPr>
      <w:r>
        <w:t>3. Emergency Access for Incident Response</w:t>
      </w:r>
    </w:p>
    <w:p>
      <w:r>
        <w:t>An on-call engineer responding to a declared P1 or P2 security incident may be granted emergency elevated access for up to 8 hours per incident, approved by the on-call manager.</w:t>
      </w:r>
    </w:p>
    <w:p>
      <w:r>
        <w:t>Emergency access granted under this section must be reviewed by the Security Operations Manager within 24 hours of expiration.</w:t>
      </w:r>
    </w:p>
    <w:p>
      <w:pPr>
        <w:pStyle w:val="Heading1"/>
      </w:pPr>
      <w:r>
        <w:t>4. Emergency Access for Maintenance Overrun</w:t>
      </w:r>
    </w:p>
    <w:p>
      <w:r>
        <w:t>An engineer who needs elevated access to complete an in-progress scheduled maintenance window beyond its planned end time may be granted emergency elevated access for up to 6 hours per occurrence, approved by the engineering lead.</w:t>
      </w:r>
    </w:p>
    <w:p>
      <w:r>
        <w:t>Emergency access granted under this section must be reviewed by the engineering lead within 24 hours of expiration.</w:t>
      </w:r>
    </w:p>
    <w:p>
      <w:pPr>
        <w:pStyle w:val="Heading1"/>
      </w:pPr>
      <w:r>
        <w:t>5. Combined Quarterly Emergency Access Cap</w:t>
      </w:r>
    </w:p>
    <w:p>
      <w:r>
        <w:t>The combined hours of emergency access granted to any single engineer under the incident response provision and the maintenance overrun provision above must not exceed 24 hours within one calendar quarter.</w:t>
      </w:r>
    </w:p>
    <w:p>
      <w:r>
        <w:t>IT must track an engineer's cumulative emergency access hours across both provisions when evaluating any new emergency access grant against this 24-hour combined limit.</w:t>
      </w:r>
    </w:p>
    <w:p>
      <w:pPr>
        <w:pStyle w:val="Heading1"/>
      </w:pPr>
      <w:r>
        <w:t>6. Breach Notification Requirements</w:t>
      </w:r>
    </w:p>
    <w:p>
      <w:r>
        <w:t>Any confirmed data breach involving personal data must be reported to affected data subjects and applicable regulators within 72 hours of confirmation.</w:t>
      </w:r>
    </w:p>
    <w:p>
      <w:pPr>
        <w:pStyle w:val="Heading1"/>
      </w:pPr>
      <w:r>
        <w:t>7. Exception Approval</w:t>
      </w:r>
    </w:p>
    <w:p>
      <w:r>
        <w:t>The Chief Information Security Officer and the Vice President of Engineering may jointly approve an exception allowing an engineer's combined emergency access to exceed the 24-hour quarterly cap only for an active critical P1 incident requiring sustained elevated access.</w:t>
      </w:r>
    </w:p>
    <w:p>
      <w:r>
        <w:t>Every exception approval must be logged with both approvers' names and the incident reference number.</w:t>
      </w:r>
    </w:p>
    <w:p>
      <w:pPr>
        <w:pStyle w:val="Heading1"/>
      </w:pPr>
      <w:r>
        <w:t>8. Recordkeeping</w:t>
      </w:r>
    </w:p>
    <w:p>
      <w:r>
        <w:t>IT must record the grant time, expiration time, approver, and total hours for every emergency access grant, including any exception approved under this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