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网络攻击一般步骤</w:t>
      </w:r>
    </w:p>
    <w:p>
      <w:pPr>
        <w:widowControl w:val="0"/>
        <w:numPr>
          <w:numId w:val="0"/>
        </w:numPr>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drawing>
          <wp:inline distT="0" distB="0" distL="114300" distR="114300">
            <wp:extent cx="880110" cy="2426970"/>
            <wp:effectExtent l="0" t="0" r="3810" b="1143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880110" cy="2426970"/>
                    </a:xfrm>
                    <a:prstGeom prst="rect">
                      <a:avLst/>
                    </a:prstGeom>
                  </pic:spPr>
                </pic:pic>
              </a:graphicData>
            </a:graphic>
          </wp:inline>
        </w:drawing>
      </w:r>
    </w:p>
    <w:p>
      <w:pPr>
        <w:numPr>
          <w:numId w:val="0"/>
        </w:numPr>
        <w:rPr>
          <w:rFonts w:hint="eastAsia" w:ascii="楷体" w:hAnsi="楷体" w:eastAsia="楷体" w:cs="楷体"/>
          <w:sz w:val="28"/>
          <w:szCs w:val="28"/>
          <w:lang w:val="en-US" w:eastAsia="zh-CN"/>
        </w:rPr>
      </w:pPr>
    </w:p>
    <w:p>
      <w:pPr>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网络攻击三部曲——信息收集技术、攻击实施技术、隐身巩固技术</w:t>
      </w:r>
    </w:p>
    <w:p>
      <w:pPr>
        <w:widowControl w:val="0"/>
        <w:numPr>
          <w:numId w:val="0"/>
        </w:numPr>
        <w:jc w:val="both"/>
        <w:rPr>
          <w:rFonts w:hint="eastAsia" w:ascii="楷体" w:hAnsi="楷体" w:eastAsia="楷体" w:cs="楷体"/>
          <w:sz w:val="28"/>
          <w:szCs w:val="28"/>
          <w:lang w:val="en-US" w:eastAsia="zh-CN"/>
        </w:rPr>
      </w:pPr>
      <w:r>
        <w:rPr>
          <w:rFonts w:hint="eastAsia" w:ascii="楷体" w:hAnsi="楷体" w:eastAsia="楷体" w:cs="楷体"/>
          <w:sz w:val="21"/>
          <w:szCs w:val="21"/>
          <w:lang w:val="en-US" w:eastAsia="zh-CN"/>
        </w:rPr>
        <w:t>A.信息收集技术主要技术：网络踩点、网络扫描、网络监听</w:t>
      </w:r>
    </w:p>
    <w:p>
      <w:pPr>
        <w:numPr>
          <w:numId w:val="0"/>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B.攻击实施技术主要技术：社会工程学攻击、口令攻击、漏洞攻击、欺骗攻击、拒绝服务攻击</w:t>
      </w:r>
    </w:p>
    <w:p>
      <w:pPr>
        <w:numPr>
          <w:numId w:val="0"/>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C.隐身巩固技术主要技术：设置代理跳板、清除日志、留后门</w:t>
      </w:r>
    </w:p>
    <w:p>
      <w:pPr>
        <w:numPr>
          <w:numId w:val="0"/>
        </w:numPr>
        <w:rPr>
          <w:rFonts w:hint="eastAsia" w:ascii="楷体" w:hAnsi="楷体" w:eastAsia="楷体" w:cs="楷体"/>
          <w:sz w:val="28"/>
          <w:szCs w:val="28"/>
          <w:lang w:val="en-US" w:eastAsia="zh-CN"/>
        </w:rPr>
      </w:pPr>
    </w:p>
    <w:p>
      <w:pPr>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拒绝服务攻击（DOS）（Denial of Service）</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基本概念：拒绝服务攻击的主要目的是使被攻击服务器资源耗尽或系统崩溃而无法提供服务。</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基本方式：最基本的DoS攻击利用合理的服务请求来占用过多的服务资源，从而使合法用户无法得到服务器的响应。</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DoS攻击类型：a.带宽耗用DoS攻击。b.资源衰竭DoS攻击。c.编程缺陷DoS攻击。</w:t>
      </w:r>
    </w:p>
    <w:p>
      <w:pPr>
        <w:widowControl w:val="0"/>
        <w:numPr>
          <w:numId w:val="0"/>
        </w:num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d.基于路由的DoS攻击。e.基于DNS的DoS攻击。</w:t>
      </w:r>
    </w:p>
    <w:p>
      <w:pPr>
        <w:widowControl w:val="0"/>
        <w:numPr>
          <w:numId w:val="0"/>
        </w:numPr>
        <w:jc w:val="both"/>
        <w:rPr>
          <w:rFonts w:hint="eastAsia" w:ascii="楷体" w:hAnsi="楷体" w:eastAsia="楷体" w:cs="楷体"/>
          <w:sz w:val="21"/>
          <w:szCs w:val="21"/>
          <w:lang w:val="en-US" w:eastAsia="zh-CN"/>
        </w:rPr>
      </w:pPr>
    </w:p>
    <w:p>
      <w:pPr>
        <w:widowControl w:val="0"/>
        <w:numPr>
          <w:ilvl w:val="0"/>
          <w:numId w:val="1"/>
        </w:numPr>
        <w:ind w:left="0" w:leftChars="0" w:firstLine="0" w:firstLineChars="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分布式拒绝服务（DDOS： Distributed Denial of Service ）</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基本概念：DDOS是一种基于DoS的特殊形式的拒绝服务攻击，是一种分布、协作的大规模攻击方式。</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与DOS的不同：DoS攻击只要一台单机和一个modem就可实现，与之不同的是DDoS攻击是利用一批受控制的机器向一台机器发起攻击，这样来势迅猛的攻击令人难以防备，因此具有较大的破坏性。</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特点：不可预测和持久性。</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主要分类：1.UDP洪水攻击：a.DNS反射攻击。b.网络时间协议（NTP）反射攻击。</w:t>
      </w:r>
    </w:p>
    <w:p>
      <w:pPr>
        <w:widowControl w:val="0"/>
        <w:numPr>
          <w:numId w:val="0"/>
        </w:numPr>
        <w:jc w:val="both"/>
        <w:rPr>
          <w:rFonts w:hint="eastAsia" w:ascii="楷体" w:hAnsi="楷体" w:eastAsia="楷体" w:cs="楷体"/>
          <w:sz w:val="28"/>
          <w:szCs w:val="28"/>
          <w:lang w:val="en-US" w:eastAsia="zh-CN"/>
        </w:rPr>
      </w:pPr>
      <w:r>
        <w:rPr>
          <w:rFonts w:hint="eastAsia" w:ascii="楷体" w:hAnsi="楷体" w:eastAsia="楷体" w:cs="楷体"/>
          <w:sz w:val="21"/>
          <w:szCs w:val="21"/>
          <w:lang w:val="en-US" w:eastAsia="zh-CN"/>
        </w:rPr>
        <w:t>c.简单服务发现协议（SSDP）反射攻击。2.TCP洪水攻击。...</w:t>
      </w:r>
      <w:r>
        <w:rPr>
          <w:rFonts w:hint="eastAsia" w:ascii="楷体" w:hAnsi="楷体" w:eastAsia="楷体" w:cs="楷体"/>
          <w:sz w:val="21"/>
          <w:szCs w:val="21"/>
          <w:lang w:val="en-US" w:eastAsia="zh-CN"/>
        </w:rPr>
        <w:br w:type="textWrapping"/>
      </w:r>
      <w:r>
        <w:rPr>
          <w:rFonts w:hint="eastAsia" w:ascii="楷体" w:hAnsi="楷体" w:eastAsia="楷体" w:cs="楷体"/>
          <w:sz w:val="28"/>
          <w:szCs w:val="28"/>
          <w:lang w:val="en-US" w:eastAsia="zh-CN"/>
        </w:rPr>
        <w:t>5.APT攻击</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定义：可以从“A”、“P”、“T”三个方面来理解NIST对APT的定义:1）A（Advanced）：技术高级。2）P（Persistent）：持续时间长。3）T（Threat）：威胁性大。</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APT攻击的两个显著特点：1）目标明确2）手段多样</w:t>
      </w:r>
      <w:bookmarkStart w:id="0" w:name="_GoBack"/>
      <w:bookmarkEnd w:id="0"/>
    </w:p>
    <w:p>
      <w:pPr>
        <w:widowControl w:val="0"/>
        <w:numPr>
          <w:numId w:val="0"/>
        </w:numPr>
        <w:jc w:val="both"/>
        <w:rPr>
          <w:rFonts w:hint="eastAsia" w:ascii="楷体" w:hAnsi="楷体" w:eastAsia="楷体" w:cs="楷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9BF37"/>
    <w:multiLevelType w:val="singleLevel"/>
    <w:tmpl w:val="5A59BF3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106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rainy</dc:creator>
  <cp:lastModifiedBy>rainy</cp:lastModifiedBy>
  <dcterms:modified xsi:type="dcterms:W3CDTF">2018-01-13T08:43:30Z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