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</w:pPr>
      <w:r>
        <w:rPr>
          <w:rFonts w:ascii="STSong" w:hAnsi="STSong" w:eastAsia="STSong"/>
          <w:b/>
          <w:color w:val="1C6B68"/>
          <w:sz w:val="38"/>
        </w:rPr>
        <w:t>陵水掼蛋</w:t>
      </w:r>
    </w:p>
    <w:p>
      <w:pPr>
        <w:spacing w:after="200"/>
      </w:pPr>
      <w:r>
        <w:rPr>
          <w:rFonts w:ascii="STSong" w:hAnsi="STSong" w:eastAsia="STSong"/>
          <w:b/>
          <w:color w:val="123B46"/>
          <w:sz w:val="60"/>
        </w:rPr>
        <w:t>牌局流程、音效与动效说明</w:t>
      </w:r>
    </w:p>
    <w:p>
      <w:pPr>
        <w:spacing w:after="500"/>
      </w:pPr>
      <w:r>
        <w:rPr>
          <w:rFonts w:ascii="STSong" w:hAnsi="STSong" w:eastAsia="STSong"/>
          <w:color w:val="D5A738"/>
          <w:sz w:val="25"/>
        </w:rPr>
        <w:t>当前完成度 · 截图材料 · 缺陷与人工验收基线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FBF3DD"/>
            <w:tcBorders>
              <w:left w:val="single" w:sz="26" w:space="0" w:color="D5A738"/>
            </w:tcBorders>
            <w:tcMar>
              <w:top w:w="130" w:type="dxa"/>
              <w:start w:w="19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b/>
                <w:color w:val="123B46"/>
                <w:sz w:val="21"/>
              </w:rPr>
              <w:t>本轮结论</w:t>
            </w:r>
          </w:p>
          <w:p>
            <w:pPr>
              <w:spacing w:line="276" w:lineRule="auto" w:after="0"/>
            </w:pPr>
            <w:r>
              <w:rPr>
                <w:rFonts w:ascii="STSong" w:hAnsi="STSong" w:eastAsia="STSong"/>
                <w:b w:val="0"/>
                <w:color w:val="1E3036"/>
                <w:sz w:val="18"/>
              </w:rPr>
              <w:t>当前能稳定辨识的牌面报读主要为部分单张和对子。其他牌型即使已有源码配置，也要等实际听感验收后才能标为完成。联机增量动作目前还存在被误判为恢复快照的问题，会跳过音效、飞牌和主特效。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200"/>
      </w:tblGrid>
      <w:tr>
        <w:tc>
          <w:tcPr>
            <w:tcW w:type="dxa" w:w="1984"/>
            <w:shd w:fill="EAF4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b/>
                <w:color w:val="1C6B68"/>
                <w:sz w:val="18"/>
              </w:rPr>
              <w:t>文档版本</w:t>
            </w:r>
          </w:p>
        </w:tc>
        <w:tc>
          <w:tcPr>
            <w:tcW w:type="dxa" w:w="7200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color w:val="1E3036"/>
                <w:sz w:val="18"/>
              </w:rPr>
              <w:t>2026-08-04</w:t>
            </w:r>
          </w:p>
        </w:tc>
      </w:tr>
      <w:tr>
        <w:tc>
          <w:tcPr>
            <w:tcW w:type="dxa" w:w="1984"/>
            <w:shd w:fill="EAF4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b/>
                <w:color w:val="1C6B68"/>
                <w:sz w:val="18"/>
              </w:rPr>
              <w:t>对应构建</w:t>
            </w:r>
          </w:p>
        </w:tc>
        <w:tc>
          <w:tcPr>
            <w:tcW w:type="dxa" w:w="7200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color w:val="1E3036"/>
                <w:sz w:val="18"/>
              </w:rPr>
              <w:t>Web 测试版 · http://127.0.0.1:7488/</w:t>
            </w:r>
          </w:p>
        </w:tc>
      </w:tr>
      <w:tr>
        <w:tc>
          <w:tcPr>
            <w:tcW w:type="dxa" w:w="1984"/>
            <w:shd w:fill="EAF4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b/>
                <w:color w:val="1C6B68"/>
                <w:sz w:val="18"/>
              </w:rPr>
              <w:t>截图规格</w:t>
            </w:r>
          </w:p>
        </w:tc>
        <w:tc>
          <w:tcPr>
            <w:tcW w:type="dxa" w:w="7200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color w:val="1E3036"/>
                <w:sz w:val="18"/>
              </w:rPr>
              <w:t>1280 × 720</w:t>
            </w:r>
          </w:p>
        </w:tc>
      </w:tr>
      <w:tr>
        <w:tc>
          <w:tcPr>
            <w:tcW w:type="dxa" w:w="1984"/>
            <w:shd w:fill="EAF4F2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b/>
                <w:color w:val="1C6B68"/>
                <w:sz w:val="18"/>
              </w:rPr>
              <w:t>设计预设</w:t>
            </w:r>
          </w:p>
        </w:tc>
        <w:tc>
          <w:tcPr>
            <w:tcW w:type="dxa" w:w="7200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STSong" w:hAnsi="STSong" w:eastAsia="STSong"/>
                <w:color w:val="1E3036"/>
                <w:sz w:val="18"/>
              </w:rPr>
              <w:t>Standard Business Brief · 研发评审稿</w:t>
            </w:r>
          </w:p>
        </w:tc>
      </w:tr>
    </w:tbl>
    <w:p/>
    <w:p>
      <w:pPr>
        <w:spacing w:before="1400"/>
      </w:pPr>
      <w:r>
        <w:rPr>
          <w:rFonts w:ascii="STSong" w:hAnsi="STSong" w:eastAsia="STSong"/>
          <w:color w:val="5B6C70"/>
          <w:sz w:val="17"/>
        </w:rPr>
        <w:t>内部研发与测试文档 · 截图取自当前本地构建</w:t>
      </w: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1  验收口径与牌型覆盖</w:t>
      </w:r>
    </w:p>
    <w:p>
      <w:pPr>
        <w:spacing w:line="283" w:lineRule="auto" w:after="80"/>
      </w:pPr>
      <w:r>
        <w:rPr>
          <w:rFonts w:ascii="STSong" w:hAnsi="STSong" w:eastAsia="STSong"/>
          <w:b w:val="0"/>
          <w:color w:val="1E3036"/>
          <w:sz w:val="20"/>
        </w:rPr>
        <w:t>本文把“已实测”“源码已配置，待复验”“待实现”严格分开。资源存在或代码存在不能替代真机听感验收。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通用出牌声：短促落牌声，不说明牌型。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牌面报读：例如“对五”“顺子”等可辨识语音。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牌型事件音效：例如炸弹爆破声，不一定包含人声报型。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2920"/>
        <w:gridCol w:w="3203"/>
        <w:gridCol w:w="1757"/>
      </w:tblGrid>
      <w:tr>
        <w:trPr>
          <w:tblHeader w:val="true"/>
        </w:trPr>
        <w:tc>
          <w:tcPr>
            <w:tcW w:type="dxa" w:w="1332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牌型</w:t>
            </w:r>
          </w:p>
        </w:tc>
        <w:tc>
          <w:tcPr>
            <w:tcW w:type="dxa" w:w="2920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当前音频</w:t>
            </w:r>
          </w:p>
        </w:tc>
        <w:tc>
          <w:tcPr>
            <w:tcW w:type="dxa" w:w="3203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当前动效</w:t>
            </w:r>
          </w:p>
        </w:tc>
        <w:tc>
          <w:tcPr>
            <w:tcW w:type="dxa" w:w="1757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单张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通用声；部分点数有报读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260ms 飞牌、落地光环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部分实测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对子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通用声；部分点数有报读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280ms 飞牌、标签、流光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部分实测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三张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无专用报型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飞牌、标签、流光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音频待补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顺子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授权语音已接入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飞牌、标签、流光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待听感复验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三带二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无专用报型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飞牌、标签、流光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音频待补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三连对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无专用报型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飞牌、标签、流光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音频待补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钢板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无专用报型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飞牌、标签、流光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音频待补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同花顺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授权音频已接入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暗场、海蓝流光、中震屏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待实机复验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炸弹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授权爆破声，无人声报型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按牌数分三级表现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待实机复验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天王炸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临时音效，回退炸弹声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暗场、金色标题、强震屏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待制作</w:t>
            </w:r>
          </w:p>
        </w:tc>
      </w:tr>
      <w:tr>
        <w:tc>
          <w:tcPr>
            <w:tcW w:type="dxa" w:w="13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不要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授权“过”语音</w:t>
            </w:r>
          </w:p>
        </w:tc>
        <w:tc>
          <w:tcPr>
            <w:tcW w:type="dxa" w:w="32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纯文字淡入淡出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已实测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4F2"/>
            <w:tcBorders>
              <w:left w:val="single" w:sz="26" w:space="0" w:color="1C6B68"/>
            </w:tcBorders>
            <w:tcMar>
              <w:top w:w="130" w:type="dxa"/>
              <w:start w:w="19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b/>
                <w:color w:val="123B46"/>
                <w:sz w:val="21"/>
              </w:rPr>
              <w:t>命名说明</w:t>
            </w:r>
          </w:p>
          <w:p>
            <w:pPr>
              <w:spacing w:line="276" w:lineRule="auto" w:after="0"/>
            </w:pPr>
            <w:r>
              <w:rPr>
                <w:rFonts w:ascii="STSong" w:hAnsi="STSong" w:eastAsia="STSong"/>
                <w:b w:val="0"/>
                <w:color w:val="1E3036"/>
                <w:sz w:val="18"/>
              </w:rPr>
              <w:t>规则要求四张王同时组成最高牌型，文档统一称为“天王炸／四王炸”，不使用斗地主的“火箭”称呼。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2  牌局流程与反馈规格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55"/>
        <w:gridCol w:w="1304"/>
        <w:gridCol w:w="255"/>
        <w:gridCol w:w="1304"/>
        <w:gridCol w:w="255"/>
        <w:gridCol w:w="1304"/>
        <w:gridCol w:w="255"/>
        <w:gridCol w:w="1304"/>
        <w:gridCol w:w="255"/>
        <w:gridCol w:w="1304"/>
      </w:tblGrid>
      <w:tr>
        <w:tc>
          <w:tcPr>
            <w:tcW w:type="dxa" w:w="1304"/>
            <w:shd w:fill="EAF4F2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1C6B68"/>
                <w:sz w:val="17"/>
              </w:rPr>
              <w:t>大厅</w:t>
            </w:r>
          </w:p>
        </w:tc>
        <w:tc>
          <w:tcPr>
            <w:tcW w:type="dxa" w:w="255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D5A738"/>
                <w:sz w:val="24"/>
              </w:rPr>
              <w:t>→</w:t>
            </w:r>
          </w:p>
        </w:tc>
        <w:tc>
          <w:tcPr>
            <w:tcW w:type="dxa" w:w="1304"/>
            <w:shd w:fill="EAF4F2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1C6B68"/>
                <w:sz w:val="17"/>
              </w:rPr>
              <w:t>摸牌定庄</w:t>
            </w:r>
          </w:p>
        </w:tc>
        <w:tc>
          <w:tcPr>
            <w:tcW w:type="dxa" w:w="255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D5A738"/>
                <w:sz w:val="24"/>
              </w:rPr>
              <w:t>→</w:t>
            </w:r>
          </w:p>
        </w:tc>
        <w:tc>
          <w:tcPr>
            <w:tcW w:type="dxa" w:w="1304"/>
            <w:shd w:fill="EAF4F2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1C6B68"/>
                <w:sz w:val="17"/>
              </w:rPr>
              <w:t>发牌</w:t>
            </w:r>
          </w:p>
        </w:tc>
        <w:tc>
          <w:tcPr>
            <w:tcW w:type="dxa" w:w="255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D5A738"/>
                <w:sz w:val="24"/>
              </w:rPr>
              <w:t>→</w:t>
            </w:r>
          </w:p>
        </w:tc>
        <w:tc>
          <w:tcPr>
            <w:tcW w:type="dxa" w:w="1304"/>
            <w:shd w:fill="EAF4F2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1C6B68"/>
                <w:sz w:val="17"/>
              </w:rPr>
              <w:t>选牌 / 提示</w:t>
            </w:r>
          </w:p>
        </w:tc>
        <w:tc>
          <w:tcPr>
            <w:tcW w:type="dxa" w:w="255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D5A738"/>
                <w:sz w:val="24"/>
              </w:rPr>
              <w:t>→</w:t>
            </w:r>
          </w:p>
        </w:tc>
        <w:tc>
          <w:tcPr>
            <w:tcW w:type="dxa" w:w="1304"/>
            <w:shd w:fill="EAF4F2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1C6B68"/>
                <w:sz w:val="17"/>
              </w:rPr>
              <w:t>出牌循环</w:t>
            </w:r>
          </w:p>
        </w:tc>
        <w:tc>
          <w:tcPr>
            <w:tcW w:type="dxa" w:w="255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D5A738"/>
                <w:sz w:val="24"/>
              </w:rPr>
              <w:t>→</w:t>
            </w:r>
          </w:p>
        </w:tc>
        <w:tc>
          <w:tcPr>
            <w:tcW w:type="dxa" w:w="1304"/>
            <w:shd w:fill="EAF4F2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1C6B68"/>
                <w:sz w:val="17"/>
              </w:rPr>
              <w:t>结算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单机主流程</w:t>
      </w:r>
    </w:p>
    <w:p>
      <w:pPr>
        <w:spacing w:line="283" w:lineRule="auto" w:after="80"/>
      </w:pPr>
      <w:r>
        <w:rPr>
          <w:rFonts w:ascii="STSong" w:hAnsi="STSong" w:eastAsia="STSong"/>
          <w:b w:val="0"/>
          <w:color w:val="1E3036"/>
          <w:sz w:val="19"/>
        </w:rPr>
        <w:t>启动 → 大厅 → 标准对局／挑战 → 摸牌定庄 → 庄家结果 → 发牌 → 循环出牌 → 本局结算 → 下一局 → 进贡／还贡。</w:t>
      </w: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联机分支</w:t>
      </w:r>
    </w:p>
    <w:p>
      <w:pPr>
        <w:spacing w:line="283" w:lineRule="auto" w:after="80"/>
      </w:pPr>
      <w:r>
        <w:rPr>
          <w:rFonts w:ascii="STSong" w:hAnsi="STSong" w:eastAsia="STSong"/>
          <w:b w:val="0"/>
          <w:color w:val="1E3036"/>
          <w:sz w:val="19"/>
        </w:rPr>
        <w:t>大厅 → 在线对战 → 快速匹配／比赛场／好友房 → 四人齐 → 联机牌桌 → 离线／恢复。当前 Web 构建没有配置联机端点，因此只能自然复现单机牌局。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324"/>
        <w:gridCol w:w="2920"/>
        <w:gridCol w:w="2608"/>
      </w:tblGrid>
      <w:tr>
        <w:trPr>
          <w:tblHeader w:val="true"/>
        </w:trPr>
        <w:tc>
          <w:tcPr>
            <w:tcW w:type="dxa" w:w="1360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324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当前声音</w:t>
            </w:r>
          </w:p>
        </w:tc>
        <w:tc>
          <w:tcPr>
            <w:tcW w:type="dxa" w:w="2920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当前画面</w:t>
            </w:r>
          </w:p>
        </w:tc>
        <w:tc>
          <w:tcPr>
            <w:tcW w:type="dxa" w:w="2608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匹配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三张牌循环洗牌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补进入、成功、失败短音效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摸牌定庄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说明淡入、庄家结果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补摸牌、翻牌、确认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发牌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授权发牌声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手牌淡入、缩放、错峰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复验联机首局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选牌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上移 32px、金边、按压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可加轻点击并限频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普通出牌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通用声＋有限报读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克隆牌弧线飞行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补落地层次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倒计时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暂用落牌声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20 秒，末 5 秒变红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换专用滴答声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玩家出完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名次提示 1.6 秒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补轻量完成音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胜／负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临时胜利／授权失败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金色胜利／灰色结束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真机校准响度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进贡还贡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结算遮罩＋选牌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补贡牌飞行和阶段反馈</w:t>
            </w:r>
          </w:p>
        </w:tc>
      </w:tr>
      <w:tr>
        <w:tc>
          <w:tcPr>
            <w:tcW w:type="dxa" w:w="13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6"/>
              </w:rPr>
              <w:t>离线恢复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无</w:t>
            </w:r>
          </w:p>
        </w:tc>
        <w:tc>
          <w:tcPr>
            <w:tcW w:type="dxa" w:w="2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离线持续；已恢复 1.5 秒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6"/>
              </w:rPr>
              <w:t>保持无声，不重放历史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3  截图材料：大厅与定庄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47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bb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47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group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Mar>
              <w:top w:w="25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color w:val="5B6C70"/>
                <w:sz w:val="16"/>
              </w:rPr>
              <w:t>图 1  大厅：左侧局外入口，右侧主要玩法入口</w:t>
            </w:r>
          </w:p>
        </w:tc>
        <w:tc>
          <w:tcPr>
            <w:tcW w:type="dxa" w:w="4677"/>
            <w:tcMar>
              <w:top w:w="25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color w:val="5B6C70"/>
                <w:sz w:val="16"/>
              </w:rPr>
              <w:t>图 2  摸牌定庄说明：目前无专用声音</w:t>
            </w:r>
          </w:p>
        </w:tc>
      </w:tr>
    </w:tbl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a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TSong" w:hAnsi="STSong" w:eastAsia="STSong"/>
          <w:color w:val="5B6C70"/>
          <w:sz w:val="17"/>
        </w:rPr>
        <w:t>图 3  庄家结果：后续可加入一次明确的定庄确认反馈</w:t>
      </w:r>
    </w:p>
    <w:p>
      <w:pPr>
        <w:spacing w:line="283" w:lineRule="auto" w:after="80"/>
      </w:pPr>
      <w:r>
        <w:rPr>
          <w:rFonts w:ascii="STSong" w:hAnsi="STSong" w:eastAsia="STSong"/>
          <w:b w:val="0"/>
          <w:color w:val="5B6C70"/>
          <w:sz w:val="18"/>
        </w:rPr>
        <w:t>画面验收重点：局外按钮层级清楚；进入对局前的说明和结果不会与主牌桌信息混淆；定庄动效总时长建议控制在 1 秒内。</w:t>
      </w: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4  截图材料：牌桌与选牌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yer-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TSong" w:hAnsi="STSong" w:eastAsia="STSong"/>
          <w:color w:val="5B6C70"/>
          <w:sz w:val="17"/>
        </w:rPr>
        <w:t>图 4  完整牌桌：左上为返回大厅和双方级数，上方队友信息独立放置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47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elected-pai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47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hint-selec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Mar>
              <w:top w:w="25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color w:val="5B6C70"/>
                <w:sz w:val="16"/>
              </w:rPr>
              <w:t>图 5  点按选牌：上移、金边，动作按钮动态居中</w:t>
            </w:r>
          </w:p>
        </w:tc>
        <w:tc>
          <w:tcPr>
            <w:tcW w:type="dxa" w:w="4677"/>
            <w:tcMar>
              <w:top w:w="25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color w:val="5B6C70"/>
                <w:sz w:val="16"/>
              </w:rPr>
              <w:t>图 6  提示选牌：合法组合自动选中并显示重置／出牌</w:t>
            </w:r>
          </w:p>
        </w:tc>
      </w:tr>
    </w:tbl>
    <w:p>
      <w:pPr>
        <w:spacing w:line="283" w:lineRule="auto" w:after="80"/>
      </w:pPr>
      <w:r>
        <w:rPr>
          <w:rFonts w:ascii="STSong" w:hAnsi="STSong" w:eastAsia="STSong"/>
          <w:b w:val="0"/>
          <w:color w:val="5B6C70"/>
          <w:sz w:val="18"/>
        </w:rPr>
        <w:t>选牌是最基础的交互反馈：AI 或其他玩家出牌后仍必须保持可用，取消选择应准确复位，不得因手牌重排或状态同步永久失效。</w:t>
      </w: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5  截图材料：跟牌与不要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47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layer-turn-follo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47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ass-feedbac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Mar>
              <w:top w:w="25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color w:val="5B6C70"/>
                <w:sz w:val="16"/>
              </w:rPr>
              <w:t>图 7  跟牌回合：按钮和倒计时自然提示轮到自己</w:t>
            </w:r>
          </w:p>
        </w:tc>
        <w:tc>
          <w:tcPr>
            <w:tcW w:type="dxa" w:w="4677"/>
            <w:tcMar>
              <w:top w:w="25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color w:val="5B6C70"/>
                <w:sz w:val="16"/>
              </w:rPr>
              <w:t>图 8  不要反馈：只显示文字，不套用纸牌框</w:t>
            </w:r>
          </w:p>
        </w:tc>
      </w:tr>
    </w:tbl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需要录屏抽帧补采的画面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发牌入口动画：点击进入牌局后 100–250ms。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普通出牌飞行：点按出牌后 80–180ms。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顺子／三连对／钢板标签：约 300–380ms。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炸弹、同花顺、天王炸：分别约 520–1050ms，随机牌局难稳定复现。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玩家出完、结算和进贡还贡：需完整打完牌局。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4F2"/>
            <w:tcBorders>
              <w:left w:val="single" w:sz="26" w:space="0" w:color="1C6B68"/>
            </w:tcBorders>
            <w:tcMar>
              <w:top w:w="130" w:type="dxa"/>
              <w:start w:w="19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b/>
                <w:color w:val="123B46"/>
                <w:sz w:val="21"/>
              </w:rPr>
              <w:t>采集建议</w:t>
            </w:r>
          </w:p>
          <w:p>
            <w:pPr>
              <w:spacing w:line="276" w:lineRule="auto" w:after="0"/>
            </w:pPr>
            <w:r>
              <w:rPr>
                <w:rFonts w:ascii="STSong" w:hAnsi="STSong" w:eastAsia="STSong"/>
                <w:b w:val="0"/>
                <w:color w:val="1E3036"/>
                <w:sz w:val="18"/>
              </w:rPr>
              <w:t>增加仅在开发构建启用的“牌局效果预览器”，使用固定 fixture 逐项触发。它既能生成一致截图，也能成为音效与动效回归入口。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6  高优先级缺陷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FBECE8"/>
            <w:tcBorders>
              <w:left w:val="single" w:sz="26" w:space="0" w:color="C84E3A"/>
            </w:tcBorders>
            <w:tcMar>
              <w:top w:w="130" w:type="dxa"/>
              <w:start w:w="19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b/>
                <w:color w:val="123B46"/>
                <w:sz w:val="21"/>
              </w:rPr>
              <w:t>P0 · 联机动作被误判为恢复快照</w:t>
            </w:r>
          </w:p>
          <w:p>
            <w:pPr>
              <w:spacing w:line="276" w:lineRule="auto" w:after="0"/>
            </w:pPr>
            <w:r>
              <w:rPr>
                <w:rFonts w:ascii="STSong" w:hAnsi="STSong" w:eastAsia="STSong"/>
                <w:b w:val="0"/>
                <w:color w:val="1E3036"/>
                <w:sz w:val="18"/>
              </w:rPr>
              <w:t>GameScene.applyNetworkState() 每次收到 gameState 都先把特效计数重置为当前 playArea 长度；随后 EffectController.syncActions() 发现计数相等，直接按恢复状态返回。正常联机动作因此跳过音效、报读、飞牌、标签和主特效。</w:t>
            </w:r>
          </w:p>
        </w:tc>
      </w:tr>
    </w:tbl>
    <w:p>
      <w:pPr>
        <w:spacing w:after="0"/>
      </w:pP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桌面牌仍会显示，因为 PlayAreaController 独立按最终状态渲染。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只应在首次进入、真正重连、动作序列缺口或回合恢复时 resetForRecovery()。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正常增量包应保留前一动作计数，由 syncActions() 判断并只播放最新一次动作。</w:t>
      </w: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其他待确认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顺子、同花顺、炸弹和天王炸：源码有路由，但当前构建未通过稳定听感验收。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天王炸、逢人配和胜利仍使用临时本地音效。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倒计时末 5 秒暂用落牌声，声音语义不准确。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当前没有实际背景音乐文件，音乐开关没有默认曲目。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本地“不要”有两条音效派发路径，依赖冷却避免重复，后续应统一入口。</w:t>
      </w: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动效调度原则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2835"/>
        <w:gridCol w:w="5216"/>
      </w:tblGrid>
      <w:tr>
        <w:trPr>
          <w:tblHeader w:val="true"/>
        </w:trPr>
        <w:tc>
          <w:tcPr>
            <w:tcW w:type="dxa" w:w="1190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强度</w:t>
            </w:r>
          </w:p>
        </w:tc>
        <w:tc>
          <w:tcPr>
            <w:tcW w:type="dxa" w:w="2835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适用</w:t>
            </w:r>
          </w:p>
        </w:tc>
        <w:tc>
          <w:tcPr>
            <w:tcW w:type="dxa" w:w="5216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调度</w:t>
            </w:r>
          </w:p>
        </w:tc>
      </w:tr>
      <w:tr>
        <w:tc>
          <w:tcPr>
            <w:tcW w:type="dxa" w:w="11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L0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普通出牌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飞牌、落地光环、轻触感；允许并行</w:t>
            </w:r>
          </w:p>
        </w:tc>
      </w:tr>
      <w:tr>
        <w:tc>
          <w:tcPr>
            <w:tcW w:type="dxa" w:w="11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L1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组合牌型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短标签和扫光；不使用大面积暗场</w:t>
            </w:r>
          </w:p>
        </w:tc>
      </w:tr>
      <w:tr>
        <w:tc>
          <w:tcPr>
            <w:tcW w:type="dxa" w:w="11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L2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普通炸弹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同一时间最多一个主特效</w:t>
            </w:r>
          </w:p>
        </w:tc>
      </w:tr>
      <w:tr>
        <w:tc>
          <w:tcPr>
            <w:tcW w:type="dxa" w:w="11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L3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同花顺／天王炸／大炸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稀缺使用暗场、标题和震屏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7  人工验收清单</w:t>
      </w: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音频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用手机扬声器、耳机分别测试，确保报读清晰、炸弹不过载。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逐一验证已映射的单张和对子；未映射点数不能误报。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顺子、同花顺、炸弹、天王炸各触发至少 3 次，记录是否漏播、重复或被截断。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连续快速出牌时，通用落牌声和报读语音不能互相吞掉。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“不要”只播放一次；最后 5 秒倒计时节奏均匀。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关闭音效后完全静音；只关闭视觉时声音仍正常。</w:t>
      </w: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动效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四个方位都从正确起点飞向正确桌面位置。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选牌上移、取消复位；其他玩家出牌后仍可继续响应。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无牌可压时只显示居中的“不要”。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牌型标签不遮挡桌面牌；L2/L3 不长时间遮挡必要按钮。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震屏只作用于牌桌，不晃动顶部导航和弹窗。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断线恢复直接显示最终状态，不重放历史飞牌和大特效。</w:t>
      </w:r>
    </w:p>
    <w:p>
      <w:pPr>
        <w:keepNext/>
        <w:spacing w:before="140" w:after="100"/>
      </w:pPr>
      <w:r>
        <w:rPr>
          <w:rFonts w:ascii="STSong" w:hAnsi="STSong" w:eastAsia="STSong"/>
          <w:b/>
          <w:color w:val="1C6B68"/>
          <w:sz w:val="25"/>
        </w:rPr>
        <w:t>联机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四个独立会话进入同房，轮流出单张、对子、不要和炸弹。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其他三端都能看到飞牌、听到声音，且每个动作只触发一次。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断网后其余客户端显示“离线”；恢复后 1.5 秒内显示“已恢复”。</w:t>
      </w:r>
    </w:p>
    <w:p>
      <w:pPr>
        <w:pStyle w:val="ListBullet"/>
        <w:spacing w:line="283" w:lineRule="auto" w:after="40"/>
        <w:ind w:left="340" w:hanging="113"/>
      </w:pPr>
      <w:r>
        <w:rPr>
          <w:rFonts w:ascii="STSong" w:hAnsi="STSong" w:eastAsia="STSong"/>
          <w:b w:val="0"/>
          <w:color w:val="1E3036"/>
          <w:sz w:val="19"/>
        </w:rPr>
        <w:t>□ 重连不会补播断线期间的全部历史声音与特效。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FBF3DD"/>
            <w:tcBorders>
              <w:left w:val="single" w:sz="26" w:space="0" w:color="D5A738"/>
            </w:tcBorders>
            <w:tcMar>
              <w:top w:w="130" w:type="dxa"/>
              <w:start w:w="19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STSong" w:hAnsi="STSong" w:eastAsia="STSong"/>
                <w:b/>
                <w:color w:val="123B46"/>
                <w:sz w:val="21"/>
              </w:rPr>
              <w:t>建议执行顺序</w:t>
            </w:r>
          </w:p>
          <w:p>
            <w:pPr>
              <w:spacing w:line="276" w:lineRule="auto" w:after="0"/>
            </w:pPr>
            <w:r>
              <w:rPr>
                <w:rFonts w:ascii="STSong" w:hAnsi="STSong" w:eastAsia="STSong"/>
                <w:b w:val="0"/>
                <w:color w:val="1E3036"/>
                <w:sz w:val="18"/>
              </w:rPr>
              <w:t>先修复联机动作计数 → 建效果预览器 → 补缺失牌型语音 → 替换临时音效 → 真机做声音、弱网和低性能验收。</w:t>
            </w:r>
          </w:p>
        </w:tc>
      </w:tr>
    </w:tbl>
    <w:p>
      <w:pPr>
        <w:spacing w:after="0"/>
      </w:pPr>
    </w:p>
    <w:p>
      <w:pPr>
        <w:keepNext/>
        <w:spacing w:before="200" w:after="100"/>
        <w:ind w:left="0"/>
        <w:pBdr>
          <w:bottom w:val="single" w:sz="12" w:space="5" w:color="D5A738"/>
        </w:pBdr>
      </w:pPr>
      <w:r>
        <w:rPr>
          <w:rFonts w:ascii="STSong" w:hAnsi="STSong" w:eastAsia="STSong"/>
          <w:b/>
          <w:color w:val="123B46"/>
          <w:sz w:val="34"/>
        </w:rPr>
        <w:t>8  源码索引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690"/>
      </w:tblGrid>
      <w:tr>
        <w:trPr>
          <w:tblHeader w:val="true"/>
        </w:trPr>
        <w:tc>
          <w:tcPr>
            <w:tcW w:type="dxa" w:w="2551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6690"/>
            <w:shd w:fill="123B4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17"/>
              </w:rPr>
              <w:t>文件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牌面报读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assets/scripts/audio/PlayVoiceProfiles.ts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语义音频配置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assets/scripts/audio/AudioProfiles.ts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统一效果调度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assets/scripts/effects/EffectController.ts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牌型表现分级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assets/scripts/effects/EffectProfileResolver.ts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出牌飞行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assets/scripts/effects/CardFlightController.ts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选牌动画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assets/scripts/ui/CardView.ts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桌面牌与不要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assets/scripts/ui/PlayAreaController.ts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牌桌流程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5F8F7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assets/scripts/scenes/GameScene.ts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/>
                <w:color w:val="1E3036"/>
                <w:sz w:val="17"/>
              </w:rPr>
              <w:t>匹配与定庄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TSong" w:hAnsi="STSong" w:eastAsia="STSong"/>
                <w:b w:val="0"/>
                <w:color w:val="1E3036"/>
                <w:sz w:val="17"/>
              </w:rPr>
              <w:t>assets/scripts/scenes/FrontPageController.ts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color w:val="5B6C70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STSong" w:hAnsi="STSong" w:eastAsia="STSong"/>
        <w:color w:val="5B6C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Song" w:hAnsi="STSong" w:eastAsia="STSong"/>
        <w:b/>
        <w:color w:val="1C6B68"/>
        <w:sz w:val="17"/>
      </w:rPr>
      <w:t>陵水掼蛋  ·  牌局体验规格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STSong" w:hAnsi="STSong" w:eastAsia="STSong"/>
      <w:color w:val="1E30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