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Noto Sans CJK SC" w:hAnsi="Noto Sans CJK SC" w:eastAsia="Noto Sans CJK SC"/>
          <w:b/>
          <w:color w:val="1E4669"/>
          <w:sz w:val="36"/>
        </w:rPr>
        <w:t>延庆羽毛球馆</w:t>
      </w:r>
    </w:p>
    <w:p>
      <w:pPr>
        <w:jc w:val="center"/>
      </w:pPr>
      <w:r>
        <w:rPr>
          <w:rFonts w:ascii="Noto Sans CJK SC" w:hAnsi="Noto Sans CJK SC" w:eastAsia="Noto Sans CJK SC"/>
          <w:b/>
          <w:color w:val="193C5F"/>
          <w:sz w:val="50"/>
        </w:rPr>
        <w:t>会员生态经营与小程序系统需求书</w:t>
      </w:r>
    </w:p>
    <w:p>
      <w:pPr>
        <w:jc w:val="center"/>
      </w:pPr>
      <w:r>
        <w:rPr>
          <w:rFonts w:ascii="Noto Sans CJK SC" w:hAnsi="Noto Sans CJK SC" w:eastAsia="Noto Sans CJK SC"/>
          <w:b/>
          <w:color w:val="507896"/>
          <w:sz w:val="32"/>
        </w:rPr>
        <w:t>V1.0</w:t>
      </w:r>
    </w:p>
    <w:p>
      <w:pPr>
        <w:spacing w:after="200" w:line="276" w:lineRule="auto"/>
        <w:jc w:val="center"/>
      </w:pPr>
      <w:r>
        <w:rPr>
          <w:rFonts w:ascii="Noto Sans CJK SC" w:hAnsi="Noto Sans CJK SC" w:eastAsia="Noto Sans CJK SC"/>
          <w:sz w:val="21"/>
        </w:rPr>
        <w:t>场地经营 × 培训独立核算 × 瑞士积分赛事 × 球局社群 × 羽球币激励 × 万达异业联盟 × 数字化分账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4E3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785000"/>
                <w:sz w:val="21"/>
              </w:rPr>
              <w:t>文件定位：</w:t>
            </w:r>
            <w:r>
              <w:rPr>
                <w:rFonts w:ascii="Noto Sans CJK SC" w:hAnsi="Noto Sans CJK SC" w:eastAsia="Noto Sans CJK SC"/>
                <w:sz w:val="21"/>
              </w:rPr>
              <w:t>本文件既是球馆经营规则说明，也是可直接提交给软件公司的功能需求与验收依据。所有比例、价格、奖励额度均应做成后台可配置参数；合同明确的财务规则优先级最高。</w:t>
            </w:r>
          </w:p>
        </w:tc>
      </w:tr>
    </w:tbl>
    <w:p>
      <w:pPr>
        <w:spacing w:after="20"/>
      </w:pPr>
    </w:p>
    <w:p>
      <w:pPr>
        <w:spacing w:after="40" w:line="276" w:lineRule="auto"/>
        <w:jc w:val="center"/>
      </w:pPr>
      <w:r>
        <w:rPr>
          <w:rFonts w:ascii="Noto Sans CJK SC" w:hAnsi="Noto Sans CJK SC" w:eastAsia="Noto Sans CJK SC"/>
          <w:sz w:val="21"/>
        </w:rPr>
        <w:t>版本日期：2026年8月15日</w:t>
      </w:r>
    </w:p>
    <w:p>
      <w:pPr>
        <w:spacing w:after="40" w:line="276" w:lineRule="auto"/>
        <w:jc w:val="center"/>
      </w:pPr>
      <w:r>
        <w:rPr>
          <w:rFonts w:ascii="Noto Sans CJK SC" w:hAnsi="Noto Sans CJK SC" w:eastAsia="Noto Sans CJK SC"/>
          <w:sz w:val="21"/>
        </w:rPr>
        <w:t>适用范围：延庆羽毛球馆现阶段试运行及后续小程序开发</w:t>
      </w:r>
    </w:p>
    <w:p>
      <w:r>
        <w:br w:type="page"/>
      </w:r>
    </w:p>
    <w:p>
      <w:pPr>
        <w:pStyle w:val="Heading1"/>
        <w:spacing w:after="80" w:line="276" w:lineRule="auto"/>
      </w:pPr>
      <w:r>
        <w:rPr>
          <w:rFonts w:ascii="Noto Sans CJK SC" w:hAnsi="Noto Sans CJK SC" w:eastAsia="Noto Sans CJK SC"/>
          <w:sz w:val="21"/>
        </w:rPr>
        <w:t>一、项目总目标</w:t>
      </w:r>
    </w:p>
    <w:p>
      <w:pPr>
        <w:spacing w:after="80" w:line="276" w:lineRule="auto"/>
        <w:ind w:firstLine="420"/>
      </w:pPr>
      <w:r>
        <w:rPr>
          <w:rFonts w:ascii="Noto Sans CJK SC" w:hAnsi="Noto Sans CJK SC" w:eastAsia="Noto Sans CJK SC"/>
          <w:sz w:val="21"/>
        </w:rPr>
        <w:t>本项目不是单纯开发一个订场小程序，而是把现有20片场地、成人与青少年培训、瑞士积分周赛/月赛、会员、商品、球局社群、羽球币、主理人裂变以及万达周边商户合作，整合成一套可核算、可追踪、可复盘、可复制的经营系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4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785000"/>
                <w:sz w:val="21"/>
              </w:rPr>
              <w:t>一句话经营模型：</w:t>
            </w:r>
            <w:r>
              <w:rPr>
                <w:rFonts w:ascii="Noto Sans CJK SC" w:hAnsi="Noto Sans CJK SC" w:eastAsia="Noto Sans CJK SC"/>
                <w:sz w:val="21"/>
              </w:rPr>
              <w:t>场地是入口，球局是粘性，赛事是留存，培训是利润中心，商品是增值，羽球币是激励纽带，主理人和联盟商户是获客网络，小程序是数据与分账中枢。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268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目标</w:t>
            </w:r>
          </w:p>
        </w:tc>
        <w:tc>
          <w:tcPr>
            <w:tcW w:type="dxa" w:w="4535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核心动作</w:t>
            </w:r>
          </w:p>
        </w:tc>
        <w:tc>
          <w:tcPr>
            <w:tcW w:type="dxa" w:w="2835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主要指标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提高非黄金时段利用率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新客体验、欢乐局、主理人组织局、白天权益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白天出租率、体验券核销率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提高客户留存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会员权益、固定球局、周赛/月赛、积分等级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7日/30日复购、重复参赛率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提高培训利润透明度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培训独立账、按消课确认、教练/耗材成本核算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单班毛利、教练产出、续费率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扩大低成本获客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一层老带新、球局主理人、万达异业联盟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有效新客、渠道获客成本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形成管理闭环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订单、会员、赛事、培训、库存、联盟、财务看板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自动对账率、数据完整率</w:t>
            </w:r>
          </w:p>
        </w:tc>
      </w:tr>
    </w:tbl>
    <w:p>
      <w:pPr>
        <w:spacing w:after="20"/>
      </w:pPr>
    </w:p>
    <w:p>
      <w:pPr>
        <w:pStyle w:val="Heading1"/>
        <w:spacing w:after="80" w:line="276" w:lineRule="auto"/>
      </w:pPr>
      <w:r>
        <w:rPr>
          <w:rFonts w:ascii="Noto Sans CJK SC" w:hAnsi="Noto Sans CJK SC" w:eastAsia="Noto Sans CJK SC"/>
          <w:sz w:val="21"/>
        </w:rPr>
        <w:t>二、必须锁死的五条底层经营规则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培训与球馆活动一体化经营，但培训业务必须单独建账、单独核算收入与成本。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按照现有合同，培训流水的20%计入球馆流水；培训业务不再向球馆另外支付或计提场地费，严禁“20%流水口径+场地费”重复计算。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培训占用场地的片数和小时数可以记录为经营分析数据，用于判断资源效率，但不得自动生成培训应付场地成本。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用户裂变只做一层直接推荐：不收推广资格费、不设上下级、不对“发展推广者”计酬，不做多层返利。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万达及周边联盟商户采取“各自收款、权益互通、券码追踪、月度结算”模式；球馆储值余额不得直接在外部商户当货币使用。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8E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785000"/>
                <w:sz w:val="21"/>
              </w:rPr>
              <w:t>开发红线：</w:t>
            </w:r>
            <w:r>
              <w:rPr>
                <w:rFonts w:ascii="Noto Sans CJK SC" w:hAnsi="Noto Sans CJK SC" w:eastAsia="Noto Sans CJK SC"/>
                <w:sz w:val="21"/>
              </w:rPr>
              <w:t>软件后台必须把上述规则做成不可误操作的财务与营销约束。尤其“培训20%计入球馆流水且不另扣场地费”必须在需求确认书和验收用例中单独列项。</w:t>
            </w:r>
          </w:p>
        </w:tc>
      </w:tr>
    </w:tbl>
    <w:p>
      <w:pPr>
        <w:spacing w:after="20"/>
      </w:pPr>
    </w:p>
    <w:p>
      <w:pPr>
        <w:pStyle w:val="Heading1"/>
        <w:spacing w:after="80" w:line="276" w:lineRule="auto"/>
      </w:pPr>
      <w:r>
        <w:rPr>
          <w:rFonts w:ascii="Noto Sans CJK SC" w:hAnsi="Noto Sans CJK SC" w:eastAsia="Noto Sans CJK SC"/>
          <w:sz w:val="21"/>
        </w:rPr>
        <w:t>三、财务与分账架构</w:t>
      </w: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sz w:val="21"/>
        </w:rPr>
        <w:t>3.1 两个经营中心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2268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经营中心</w:t>
            </w:r>
          </w:p>
        </w:tc>
        <w:tc>
          <w:tcPr>
            <w:tcW w:type="dxa" w:w="3402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收入项目</w:t>
            </w:r>
          </w:p>
        </w:tc>
        <w:tc>
          <w:tcPr>
            <w:tcW w:type="dxa" w:w="3402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主要直接成本</w:t>
            </w:r>
          </w:p>
        </w:tc>
        <w:tc>
          <w:tcPr>
            <w:tcW w:type="dxa" w:w="2835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系统要求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A. 场馆经营中心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场地、赛事、会员、饮料/食品、指定商品、拉线、赞助/活动等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商品进货、赛事用球/裁判、员工、营销权益等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独立利润表；按合同口径生成球馆流水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B. 培训经营中心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青少年班、成人班、私教、发球机课、训练营等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教练/助教、训练球、招生提成、营销奖励、教学耗材等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独立利润表；按消课和退费同步核算</w:t>
            </w:r>
          </w:p>
        </w:tc>
      </w:tr>
    </w:tbl>
    <w:p>
      <w:pPr>
        <w:spacing w:after="2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sz w:val="21"/>
        </w:rPr>
        <w:t>3.2 培训业务的合同口径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4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785000"/>
                <w:sz w:val="21"/>
              </w:rPr>
              <w:t>核心公式：</w:t>
            </w:r>
            <w:r>
              <w:rPr>
                <w:rFonts w:ascii="Noto Sans CJK SC" w:hAnsi="Noto Sans CJK SC" w:eastAsia="Noto Sans CJK SC"/>
                <w:sz w:val="21"/>
              </w:rPr>
              <w:t>培训实际有效流水 × 20% = 按合同计入球馆流水的金额。培训业务不再另付场地费。</w:t>
            </w:r>
          </w:p>
        </w:tc>
      </w:tr>
    </w:tbl>
    <w:p>
      <w:pPr>
        <w:spacing w:after="20"/>
      </w:pPr>
    </w:p>
    <w:p>
      <w:pPr>
        <w:spacing w:after="80" w:line="276" w:lineRule="auto"/>
        <w:ind w:firstLine="420"/>
      </w:pPr>
      <w:r>
        <w:rPr>
          <w:rFonts w:ascii="Noto Sans CJK SC" w:hAnsi="Noto Sans CJK SC" w:eastAsia="Noto Sans CJK SC"/>
          <w:sz w:val="21"/>
        </w:rPr>
        <w:t>示例：某月培训实际有效流水100,000元，则系统标记20,000元进入“球馆合同流水口径”。培训中心仍保留100,000元培训流水明细，用于自身收入、退费、消课及利润分析；但不得再生成“培训占场应付球馆场地费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835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2268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示例</w:t>
            </w:r>
          </w:p>
        </w:tc>
        <w:tc>
          <w:tcPr>
            <w:tcW w:type="dxa" w:w="5102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培训有效流水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100,000元</w:t>
            </w:r>
          </w:p>
        </w:tc>
        <w:tc>
          <w:tcPr>
            <w:tcW w:type="dxa" w:w="51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培训经营收入与合同基数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计入球馆流水比例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20%</w:t>
            </w:r>
          </w:p>
        </w:tc>
        <w:tc>
          <w:tcPr>
            <w:tcW w:type="dxa" w:w="51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后台可配置，当前按合同锁定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计入球馆流水金额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20,000元</w:t>
            </w:r>
          </w:p>
        </w:tc>
        <w:tc>
          <w:tcPr>
            <w:tcW w:type="dxa" w:w="51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用于球馆合同结算口径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培训场地费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0元</w:t>
            </w:r>
          </w:p>
        </w:tc>
        <w:tc>
          <w:tcPr>
            <w:tcW w:type="dxa" w:w="51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不另付；禁止重复扣减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教练及助教成本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按课时/工资</w:t>
            </w:r>
          </w:p>
        </w:tc>
        <w:tc>
          <w:tcPr>
            <w:tcW w:type="dxa" w:w="51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培训直接成本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训练球/耗材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按实际领用</w:t>
            </w:r>
          </w:p>
        </w:tc>
        <w:tc>
          <w:tcPr>
            <w:tcW w:type="dxa" w:w="51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培训直接成本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招生提成/渠道奖励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按规则</w:t>
            </w:r>
          </w:p>
        </w:tc>
        <w:tc>
          <w:tcPr>
            <w:tcW w:type="dxa" w:w="51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培训获客成本</w:t>
            </w:r>
          </w:p>
        </w:tc>
      </w:tr>
    </w:tbl>
    <w:p>
      <w:pPr>
        <w:spacing w:after="2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sz w:val="21"/>
        </w:rPr>
        <w:t>3.3 “经营分析”与“会计/合同结算”分离</w:t>
      </w:r>
    </w:p>
    <w:p>
      <w:pPr>
        <w:spacing w:after="80" w:line="276" w:lineRule="auto"/>
        <w:ind w:firstLine="420"/>
      </w:pPr>
      <w:r>
        <w:rPr>
          <w:rFonts w:ascii="Noto Sans CJK SC" w:hAnsi="Noto Sans CJK SC" w:eastAsia="Noto Sans CJK SC"/>
          <w:sz w:val="21"/>
        </w:rPr>
        <w:t>系统允许记录培训每节课占用的场地片数和时长，并计算“场地资源占用价值”用于经营分析，例如判断黄金时段开班是否值得。但该指标仅进入经营看板，不进入培训应付账款，不形成实际场地费。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4E3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785000"/>
                <w:sz w:val="21"/>
              </w:rPr>
              <w:t>建议看两种利润：</w:t>
            </w:r>
            <w:r>
              <w:rPr>
                <w:rFonts w:ascii="Noto Sans CJK SC" w:hAnsi="Noto Sans CJK SC" w:eastAsia="Noto Sans CJK SC"/>
                <w:sz w:val="21"/>
              </w:rPr>
              <w:t>①培训现金贡献毛利=培训确认收入－教练/助教－球耗－提成－营销等直接成本；②资源效率指标=现金贡献毛利÷占用场地小时。第二项用于决策，不等同于合同成本。</w:t>
            </w:r>
          </w:p>
        </w:tc>
      </w:tr>
    </w:tbl>
    <w:p>
      <w:pPr>
        <w:spacing w:after="2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sz w:val="21"/>
        </w:rPr>
        <w:t>3.4 收入确认建议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1"/>
        </w:rPr>
        <w:t>场地、赛事、商品：以实际完成交易/服务为业务确认节点；退款需反冲。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1"/>
        </w:rPr>
        <w:t>培训：预收款与已消课收入分开显示；每次消课同步确认对应课次的经营收入和教练/耗材成本。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1"/>
        </w:rPr>
        <w:t>储值：充值进入“预收/余额账户”，不应直接当作当期已实现营业收入；实际消费时再按业务类型归集。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1"/>
        </w:rPr>
        <w:t>羽球币、优惠券、赠送权益：单独记录营销成本，不与现金余额混账。</w:t>
      </w:r>
    </w:p>
    <w:p>
      <w:pPr>
        <w:pStyle w:val="Heading1"/>
        <w:spacing w:after="80" w:line="276" w:lineRule="auto"/>
      </w:pPr>
      <w:r>
        <w:rPr>
          <w:rFonts w:ascii="Noto Sans CJK SC" w:hAnsi="Noto Sans CJK SC" w:eastAsia="Noto Sans CJK SC"/>
          <w:sz w:val="21"/>
        </w:rPr>
        <w:t>四、用户账户与积分体系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2268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账户</w:t>
            </w:r>
          </w:p>
        </w:tc>
        <w:tc>
          <w:tcPr>
            <w:tcW w:type="dxa" w:w="2268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是否有现金属性</w:t>
            </w:r>
          </w:p>
        </w:tc>
        <w:tc>
          <w:tcPr>
            <w:tcW w:type="dxa" w:w="3402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用途</w:t>
            </w:r>
          </w:p>
        </w:tc>
        <w:tc>
          <w:tcPr>
            <w:tcW w:type="dxa" w:w="3969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关键规则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现金/储值余额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有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本馆合规范围内支付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本金与赠送额分开；退款按规则处理；不得跨外部商户消费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羽球币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无现金属性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场地券、赛事、商品、培训指定抵扣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不提现、不转让；奖励成本可控；培训抵扣设置上限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成人赛事积分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无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周赛/月赛等级、战绩、排名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长期累计；与余额分离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青少年成长积分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无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课堂成长、里程碑、荣誉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与羽球币分账；监护人主账号管理</w:t>
            </w:r>
          </w:p>
        </w:tc>
      </w:tr>
    </w:tbl>
    <w:p>
      <w:pPr>
        <w:spacing w:after="20"/>
      </w:pPr>
    </w:p>
    <w:p>
      <w:pPr>
        <w:spacing w:after="80" w:line="276" w:lineRule="auto"/>
        <w:ind w:firstLine="420"/>
      </w:pPr>
      <w:r>
        <w:rPr>
          <w:rFonts w:ascii="Noto Sans CJK SC" w:hAnsi="Noto Sans CJK SC" w:eastAsia="Noto Sans CJK SC"/>
          <w:sz w:val="21"/>
        </w:rPr>
        <w:t>原青少年成长体系继续沿用“成长积分+羽球币”双账户，原则上保留“成长积分不因兑换减少、羽球币单独收支”的结构。成人赛事积分与青少年成长积分必须分表管理，避免一个积分体系承担过多功能。</w:t>
      </w:r>
    </w:p>
    <w:p>
      <w:pPr>
        <w:pStyle w:val="Heading1"/>
        <w:spacing w:after="80" w:line="276" w:lineRule="auto"/>
      </w:pPr>
      <w:r>
        <w:rPr>
          <w:rFonts w:ascii="Noto Sans CJK SC" w:hAnsi="Noto Sans CJK SC" w:eastAsia="Noto Sans CJK SC"/>
          <w:sz w:val="21"/>
        </w:rPr>
        <w:t>五、场地与会员产品体系</w:t>
      </w: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sz w:val="21"/>
        </w:rPr>
        <w:t>5.1 场地定价原则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1"/>
        </w:rPr>
        <w:t>黄金时段：以正常收入为主，尽量少做大额折扣。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1"/>
        </w:rPr>
        <w:t>非黄金时段：作为低边际成本获客资源，承接体验、欢乐局、主理人奖励和会员权益。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1"/>
        </w:rPr>
        <w:t>具体价格全部后台可配置，不把历史旧价写死在代码中。</w:t>
      </w: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sz w:val="21"/>
        </w:rPr>
        <w:t>5.2 首期建议产品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268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产品</w:t>
            </w:r>
          </w:p>
        </w:tc>
        <w:tc>
          <w:tcPr>
            <w:tcW w:type="dxa" w:w="5669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建议规则</w:t>
            </w:r>
          </w:p>
        </w:tc>
        <w:tc>
          <w:tcPr>
            <w:tcW w:type="dxa" w:w="2835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目的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新客体验场</w:t>
            </w:r>
          </w:p>
        </w:tc>
        <w:tc>
          <w:tcPr>
            <w:tcW w:type="dxa" w:w="56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首次注册可购；限非黄金时段；7天有效；一人一次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形成首次到店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新客欢乐局</w:t>
            </w:r>
          </w:p>
        </w:tc>
        <w:tc>
          <w:tcPr>
            <w:tcW w:type="dxa" w:w="56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按人收费，球馆/主理人组织4-6人拼场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低门槛获客+社交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普通注册会员</w:t>
            </w:r>
          </w:p>
        </w:tc>
        <w:tc>
          <w:tcPr>
            <w:tcW w:type="dxa" w:w="56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免费注册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建立用户数据和消息触达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金羽会员</w:t>
            </w:r>
          </w:p>
        </w:tc>
        <w:tc>
          <w:tcPr>
            <w:tcW w:type="dxa" w:w="56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低年费权益制，优先预约/赛事会员价/非黄金券等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锁关系而非大额充值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白天畅打月/季卡</w:t>
            </w:r>
          </w:p>
        </w:tc>
        <w:tc>
          <w:tcPr>
            <w:tcW w:type="dxa" w:w="56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限工作日白天、预约制、限制每日时长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盘活闲置产能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4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785000"/>
                <w:sz w:val="21"/>
              </w:rPr>
              <w:t>原则：</w:t>
            </w:r>
            <w:r>
              <w:rPr>
                <w:rFonts w:ascii="Noto Sans CJK SC" w:hAnsi="Noto Sans CJK SC" w:eastAsia="Noto Sans CJK SC"/>
                <w:sz w:val="21"/>
              </w:rPr>
              <w:t>同一订单不叠加“大折扣+高返现+高推荐佣金”。营销让利优先使用非黄金场地、赞助品、羽球币和权益券。</w:t>
            </w:r>
          </w:p>
        </w:tc>
      </w:tr>
    </w:tbl>
    <w:p>
      <w:pPr>
        <w:spacing w:after="20"/>
      </w:pPr>
    </w:p>
    <w:p>
      <w:pPr>
        <w:pStyle w:val="Heading1"/>
        <w:spacing w:after="80" w:line="276" w:lineRule="auto"/>
      </w:pPr>
      <w:r>
        <w:rPr>
          <w:rFonts w:ascii="Noto Sans CJK SC" w:hAnsi="Noto Sans CJK SC" w:eastAsia="Noto Sans CJK SC"/>
          <w:sz w:val="21"/>
        </w:rPr>
        <w:t>六、瑞士积分周赛/月赛：会员留存发动机</w:t>
      </w:r>
    </w:p>
    <w:p>
      <w:pPr>
        <w:spacing w:after="80" w:line="276" w:lineRule="auto"/>
        <w:ind w:firstLine="420"/>
      </w:pPr>
      <w:r>
        <w:rPr>
          <w:rFonts w:ascii="Noto Sans CJK SC" w:hAnsi="Noto Sans CJK SC" w:eastAsia="Noto Sans CJK SC"/>
          <w:sz w:val="21"/>
        </w:rPr>
        <w:t>保留现有赛事核心：固定搭档双打，男双/女双/混双同场；21分一局、20平不加分；男双对女双让5分、男双对混双让2分、混双对女双让2分；5轮瑞士制；24人成赛、48人封顶。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835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模块</w:t>
            </w:r>
          </w:p>
        </w:tc>
        <w:tc>
          <w:tcPr>
            <w:tcW w:type="dxa" w:w="7937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系统功能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赛事发布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时间、人数、报名费、会员价、规则、奖品、赞助商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报名与支付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在线报名、候补、退款规则、签到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编排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瑞士制配对；支持人工修正和异常处理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比分录入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裁判/管理员移动端录入；自动排名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积分与等级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周赛积分、月度积分、分级、历史战绩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奖品池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竞技奖、阶梯抽奖、场地券、培训体验、赞助品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传播</w:t>
            </w:r>
          </w:p>
        </w:tc>
        <w:tc>
          <w:tcPr>
            <w:tcW w:type="dxa" w:w="793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冠军榜、战绩海报、个人战绩卡、分享二维码</w:t>
            </w:r>
          </w:p>
        </w:tc>
      </w:tr>
    </w:tbl>
    <w:p>
      <w:pPr>
        <w:spacing w:after="20"/>
      </w:pPr>
    </w:p>
    <w:p>
      <w:pPr>
        <w:spacing w:after="80" w:line="276" w:lineRule="auto"/>
        <w:ind w:firstLine="420"/>
      </w:pPr>
      <w:r>
        <w:rPr>
          <w:rFonts w:ascii="Noto Sans CJK SC" w:hAnsi="Noto Sans CJK SC" w:eastAsia="Noto Sans CJK SC"/>
          <w:sz w:val="21"/>
        </w:rPr>
        <w:t>赛事经营目标不是单场高利润，而是形成固定到场习惯、分级社群、二次订场、成人培训转化、品牌赞助和会员价值。</w:t>
      </w:r>
    </w:p>
    <w:p>
      <w:pPr>
        <w:pStyle w:val="Heading1"/>
        <w:spacing w:after="80" w:line="276" w:lineRule="auto"/>
      </w:pPr>
      <w:r>
        <w:rPr>
          <w:rFonts w:ascii="Noto Sans CJK SC" w:hAnsi="Noto Sans CJK SC" w:eastAsia="Noto Sans CJK SC"/>
          <w:sz w:val="21"/>
        </w:rPr>
        <w:t>七、培训系统：一体运营、独立核算</w:t>
      </w: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sz w:val="21"/>
        </w:rPr>
        <w:t>7.1 培训产品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268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产品线</w:t>
            </w:r>
          </w:p>
        </w:tc>
        <w:tc>
          <w:tcPr>
            <w:tcW w:type="dxa" w:w="3969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示例</w:t>
            </w:r>
          </w:p>
        </w:tc>
        <w:tc>
          <w:tcPr>
            <w:tcW w:type="dxa" w:w="5102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系统必须记录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青少年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试听测评、基础班、提高班、竞技班</w:t>
            </w:r>
          </w:p>
        </w:tc>
        <w:tc>
          <w:tcPr>
            <w:tcW w:type="dxa" w:w="51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班级、课次、学员、监护人、教练、签到、消课、成长积分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成人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基础班、专项班、私教、双打轮转诊断</w:t>
            </w:r>
          </w:p>
        </w:tc>
        <w:tc>
          <w:tcPr>
            <w:tcW w:type="dxa" w:w="51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预约、课时、教练、场地占用、课后反馈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设备训练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发球机课、专项重复训练</w:t>
            </w:r>
          </w:p>
        </w:tc>
        <w:tc>
          <w:tcPr>
            <w:tcW w:type="dxa" w:w="51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设备、班型、教练/助教、耗材、训练量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短期活动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假期营、赛前训练营</w:t>
            </w:r>
          </w:p>
        </w:tc>
        <w:tc>
          <w:tcPr>
            <w:tcW w:type="dxa" w:w="51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项目预算、报名、住宿/餐饮等扩展字段</w:t>
            </w:r>
          </w:p>
        </w:tc>
      </w:tr>
    </w:tbl>
    <w:p>
      <w:pPr>
        <w:spacing w:after="2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sz w:val="21"/>
        </w:rPr>
        <w:t>7.2 培训成本核算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835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成本项</w:t>
            </w:r>
          </w:p>
        </w:tc>
        <w:tc>
          <w:tcPr>
            <w:tcW w:type="dxa" w:w="4535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核算方法</w:t>
            </w:r>
          </w:p>
        </w:tc>
        <w:tc>
          <w:tcPr>
            <w:tcW w:type="dxa" w:w="3969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是否进入培训成本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主教练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固定工资或课时分摊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助教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课时/班次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训练球及教学耗材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领用/标准耗用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招生提成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按有效缴费规则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营销奖励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羽球币/优惠券实际核销成本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场地使用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记录片数和小时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仅资源分析；不作为另付场地费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培训流水20%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按合同进入球馆流水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合同结算口径；不得再叠加场地费</w:t>
            </w:r>
          </w:p>
        </w:tc>
      </w:tr>
    </w:tbl>
    <w:p>
      <w:pPr>
        <w:spacing w:after="2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sz w:val="21"/>
        </w:rPr>
        <w:t>7.3 预收费与消课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1"/>
        </w:rPr>
        <w:t>培训预收款、已消课收入、未消课余额、退费必须四者分开。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1"/>
        </w:rPr>
        <w:t>每次消课同步生成课次记录和对应收入确认记录；退课/补课/请假均有状态。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1"/>
        </w:rPr>
        <w:t>青少年培训产品设计和收费周期须按现行监管要求配置，后台设置课时、期限、金额上限提醒。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1"/>
        </w:rPr>
        <w:t>合同、退费规则、监护人授权、课程记录应可导出和留存。</w:t>
      </w:r>
    </w:p>
    <w:p>
      <w:pPr>
        <w:pStyle w:val="Heading1"/>
        <w:spacing w:after="80" w:line="276" w:lineRule="auto"/>
      </w:pPr>
      <w:r>
        <w:rPr>
          <w:rFonts w:ascii="Noto Sans CJK SC" w:hAnsi="Noto Sans CJK SC" w:eastAsia="Noto Sans CJK SC"/>
          <w:sz w:val="21"/>
        </w:rPr>
        <w:t>八、老带新与“金羽球局主理人”机制</w:t>
      </w: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sz w:val="21"/>
        </w:rPr>
        <w:t>8.1 用户转介绍只做一层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2835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触发事件</w:t>
            </w:r>
          </w:p>
        </w:tc>
        <w:tc>
          <w:tcPr>
            <w:tcW w:type="dxa" w:w="2835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推荐人奖励</w:t>
            </w:r>
          </w:p>
        </w:tc>
        <w:tc>
          <w:tcPr>
            <w:tcW w:type="dxa" w:w="2835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新客奖励</w:t>
            </w:r>
          </w:p>
        </w:tc>
        <w:tc>
          <w:tcPr>
            <w:tcW w:type="dxa" w:w="3402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确认节点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新客完成有效体验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小额羽球币/权益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体验权益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完成签到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新客完成首次付费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小额羽球币/非黄金券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首单券/羽球币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订单完成且过退款观察期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新学员正式报名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按培训规则奖励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新生权益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缴费有效且满足退费观察期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8E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785000"/>
                <w:sz w:val="21"/>
              </w:rPr>
              <w:t>禁止：</w:t>
            </w:r>
            <w:r>
              <w:rPr>
                <w:rFonts w:ascii="Noto Sans CJK SC" w:hAnsi="Noto Sans CJK SC" w:eastAsia="Noto Sans CJK SC"/>
                <w:sz w:val="21"/>
              </w:rPr>
              <w:t>不做“邀请关系永久抽成”；不做推荐人发展新的推广人后继续拿收益；不以发展人数作为主要计酬依据。</w:t>
            </w:r>
          </w:p>
        </w:tc>
      </w:tr>
    </w:tbl>
    <w:p>
      <w:pPr>
        <w:spacing w:after="2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sz w:val="21"/>
        </w:rPr>
        <w:t>8.2 球局主理人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1"/>
        </w:rPr>
        <w:t>申请免费，不缴纳资格费。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1"/>
        </w:rPr>
        <w:t>可创建固定主题球局：女双、混双、中老年、亲子、U8/U10对抗、下班欢乐局等。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1"/>
        </w:rPr>
        <w:t>奖励依据为真实核销人次或真实订单，不依据“发展了多少主理人”。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1"/>
        </w:rPr>
        <w:t>优先奖励低成本权益，例如组织满一定有效人次后赠非黄金时段场地、周赛报名券或羽球币。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1"/>
        </w:rPr>
        <w:t>后台记录：主理人ID、球局、报名、到场、消费、奖励、异常刷单标记。</w:t>
      </w:r>
    </w:p>
    <w:p>
      <w:pPr>
        <w:pStyle w:val="Heading1"/>
        <w:spacing w:after="80" w:line="276" w:lineRule="auto"/>
      </w:pPr>
      <w:r>
        <w:rPr>
          <w:rFonts w:ascii="Noto Sans CJK SC" w:hAnsi="Noto Sans CJK SC" w:eastAsia="Noto Sans CJK SC"/>
          <w:sz w:val="21"/>
        </w:rPr>
        <w:t>九、“金羽×万达生活权益联盟”</w:t>
      </w: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sz w:val="21"/>
        </w:rPr>
        <w:t>9.1 核心模式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4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785000"/>
                <w:sz w:val="21"/>
              </w:rPr>
              <w:t>联盟原则：</w:t>
            </w:r>
            <w:r>
              <w:rPr>
                <w:rFonts w:ascii="Noto Sans CJK SC" w:hAnsi="Noto Sans CJK SC" w:eastAsia="Noto Sans CJK SC"/>
                <w:sz w:val="21"/>
              </w:rPr>
              <w:t>钱不互通，权益互通；各商户各自收款，系统只做券码、来源、核销、引流归因、对账和合作费用结算。</w:t>
            </w:r>
          </w:p>
        </w:tc>
      </w:tr>
    </w:tbl>
    <w:p>
      <w:pPr>
        <w:spacing w:after="20"/>
      </w:pPr>
    </w:p>
    <w:p>
      <w:pPr>
        <w:spacing w:after="80" w:line="276" w:lineRule="auto"/>
        <w:ind w:firstLine="420"/>
      </w:pPr>
      <w:r>
        <w:rPr>
          <w:rFonts w:ascii="Noto Sans CJK SC" w:hAnsi="Noto Sans CJK SC" w:eastAsia="Noto Sans CJK SC"/>
          <w:sz w:val="21"/>
        </w:rPr>
        <w:t>优先合作对象：电影院、餐饮、咖啡/奶茶、亲子娱乐、停车、运动康复/按摩、运动用品及其他高频快销商户。</w:t>
      </w: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sz w:val="21"/>
        </w:rPr>
        <w:t>9.2 “一码一券一核销”方案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合作商户后台生成一批唯一券码（二维码/短码），可由低成本热敏/标签打印设备现场打印。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顾客在合作商户完成消费后领取球馆权益券，或球馆会员完成打球后领取联盟商户权益券。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扫码后系统记录券来源、商户、活动、用户、领取时间；到店核销后记录真实转化。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如触发合作费用，系统按“有效首单/有效核销/固定渠道服务费”等双方合同规则计算；月底生成对账单。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第一阶段不要求对接电影院或餐饮POS系统；后期只有在收益明确时再做API对接。</w:t>
      </w: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sz w:val="21"/>
        </w:rPr>
        <w:t>9.3 商户合作三级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417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级别</w:t>
            </w:r>
          </w:p>
        </w:tc>
        <w:tc>
          <w:tcPr>
            <w:tcW w:type="dxa" w:w="2268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835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典型商户</w:t>
            </w:r>
          </w:p>
        </w:tc>
        <w:tc>
          <w:tcPr>
            <w:tcW w:type="dxa" w:w="5102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合作机制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A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高频互导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电影、餐饮、咖啡、亲子</w:t>
            </w:r>
          </w:p>
        </w:tc>
        <w:tc>
          <w:tcPr>
            <w:tcW w:type="dxa" w:w="51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双向发券+核销统计+按有效新客/活动结算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B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会员权益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餐饮、理发、停车、康体等</w:t>
            </w:r>
          </w:p>
        </w:tc>
        <w:tc>
          <w:tcPr>
            <w:tcW w:type="dxa" w:w="51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会员专属折扣/赠品；可不返佣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活动赞助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饮料、运动品牌、汽车、银行等</w:t>
            </w:r>
          </w:p>
        </w:tc>
        <w:tc>
          <w:tcPr>
            <w:tcW w:type="dxa" w:w="51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周赛/月赛/会员日赞助和曝光</w:t>
            </w:r>
          </w:p>
        </w:tc>
      </w:tr>
    </w:tbl>
    <w:p>
      <w:pPr>
        <w:spacing w:after="2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sz w:val="21"/>
        </w:rPr>
        <w:t>9.4 联盟结算数据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3402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指标</w:t>
            </w:r>
          </w:p>
        </w:tc>
        <w:tc>
          <w:tcPr>
            <w:tcW w:type="dxa" w:w="7370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发券数</w:t>
            </w:r>
          </w:p>
        </w:tc>
        <w:tc>
          <w:tcPr>
            <w:tcW w:type="dxa" w:w="73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商户/球馆发出的唯一券数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扫码数</w:t>
            </w:r>
          </w:p>
        </w:tc>
        <w:tc>
          <w:tcPr>
            <w:tcW w:type="dxa" w:w="73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领取或激活人数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到店核销数</w:t>
            </w:r>
          </w:p>
        </w:tc>
        <w:tc>
          <w:tcPr>
            <w:tcW w:type="dxa" w:w="73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完成真实到店/权益使用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有效新客数</w:t>
            </w:r>
          </w:p>
        </w:tc>
        <w:tc>
          <w:tcPr>
            <w:tcW w:type="dxa" w:w="73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满足新客定义并完成目标交易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引流成交额</w:t>
            </w:r>
          </w:p>
        </w:tc>
        <w:tc>
          <w:tcPr>
            <w:tcW w:type="dxa" w:w="73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可归因的实际交易金额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合作费用</w:t>
            </w:r>
          </w:p>
        </w:tc>
        <w:tc>
          <w:tcPr>
            <w:tcW w:type="dxa" w:w="73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按合同规则计算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结算状态</w:t>
            </w:r>
          </w:p>
        </w:tc>
        <w:tc>
          <w:tcPr>
            <w:tcW w:type="dxa" w:w="73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未结/已确认/已结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渠道ROI</w:t>
            </w:r>
          </w:p>
        </w:tc>
        <w:tc>
          <w:tcPr>
            <w:tcW w:type="dxa" w:w="73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带来的毛利或有效客户价值÷合作成本</w:t>
            </w:r>
          </w:p>
        </w:tc>
      </w:tr>
    </w:tbl>
    <w:p>
      <w:pPr>
        <w:spacing w:after="20"/>
      </w:pPr>
    </w:p>
    <w:p>
      <w:pPr>
        <w:pStyle w:val="Heading1"/>
        <w:spacing w:after="80" w:line="276" w:lineRule="auto"/>
      </w:pPr>
      <w:r>
        <w:rPr>
          <w:rFonts w:ascii="Noto Sans CJK SC" w:hAnsi="Noto Sans CJK SC" w:eastAsia="Noto Sans CJK SC"/>
          <w:sz w:val="21"/>
        </w:rPr>
        <w:t>十、小程序产品架构</w:t>
      </w: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sz w:val="21"/>
        </w:rPr>
        <w:t>10.1 四个端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268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端</w:t>
            </w:r>
          </w:p>
        </w:tc>
        <w:tc>
          <w:tcPr>
            <w:tcW w:type="dxa" w:w="2835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主要用户</w:t>
            </w:r>
          </w:p>
        </w:tc>
        <w:tc>
          <w:tcPr>
            <w:tcW w:type="dxa" w:w="6236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核心功能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会员端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散客、会员、家长、学员</w:t>
            </w:r>
          </w:p>
        </w:tc>
        <w:tc>
          <w:tcPr>
            <w:tcW w:type="dxa" w:w="62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订场、球局、赛事、培训、积分、羽球币、联盟权益、订单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员工/教练端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前台、教练、赛事工作人员</w:t>
            </w:r>
          </w:p>
        </w:tc>
        <w:tc>
          <w:tcPr>
            <w:tcW w:type="dxa" w:w="62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签到、消课、比分、库存、核销、客户跟进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主理人/商户端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球局主理人、联盟商户</w:t>
            </w:r>
          </w:p>
        </w:tc>
        <w:tc>
          <w:tcPr>
            <w:tcW w:type="dxa" w:w="62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发券、核销、活动数据、对账数据（按权限）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老板/管理后台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经营者、经理、财务</w:t>
            </w:r>
          </w:p>
        </w:tc>
        <w:tc>
          <w:tcPr>
            <w:tcW w:type="dxa" w:w="62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全业务配置、分账、利润、渠道ROI、权限、审计日志</w:t>
            </w:r>
          </w:p>
        </w:tc>
      </w:tr>
    </w:tbl>
    <w:p>
      <w:pPr>
        <w:spacing w:after="2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sz w:val="21"/>
        </w:rPr>
        <w:t>10.2 八大核心业务模块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268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模块</w:t>
            </w:r>
          </w:p>
        </w:tc>
        <w:tc>
          <w:tcPr>
            <w:tcW w:type="dxa" w:w="5102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P0必须上线</w:t>
            </w:r>
          </w:p>
        </w:tc>
        <w:tc>
          <w:tcPr>
            <w:tcW w:type="dxa" w:w="4535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P1/P2扩展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1 场地</w:t>
            </w:r>
          </w:p>
        </w:tc>
        <w:tc>
          <w:tcPr>
            <w:tcW w:type="dxa" w:w="51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20片可视化、时段价、订单、退款、优惠券、空场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门禁、动态价格、趣运动对账自动化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2 会员</w:t>
            </w:r>
          </w:p>
        </w:tc>
        <w:tc>
          <w:tcPr>
            <w:tcW w:type="dxa" w:w="51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会员档案、标签、权益、到期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RFM分层、自动营销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3 球局</w:t>
            </w:r>
          </w:p>
        </w:tc>
        <w:tc>
          <w:tcPr>
            <w:tcW w:type="dxa" w:w="51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创建、报名、支付、签到、主理人奖励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水平匹配、自动候补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4 赛事</w:t>
            </w:r>
          </w:p>
        </w:tc>
        <w:tc>
          <w:tcPr>
            <w:tcW w:type="dxa" w:w="51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报名、编排、比分、积分、排名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个人战绩海报、赞助曝光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5 培训</w:t>
            </w:r>
          </w:p>
        </w:tc>
        <w:tc>
          <w:tcPr>
            <w:tcW w:type="dxa" w:w="51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班级、课表、签到、消课、教练、监护人、退费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成长报告、发球机数据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6 羽球币/营销</w:t>
            </w:r>
          </w:p>
        </w:tc>
        <w:tc>
          <w:tcPr>
            <w:tcW w:type="dxa" w:w="51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来源、余额、核销、券、转介绍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自动任务激励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7 商品库存</w:t>
            </w:r>
          </w:p>
        </w:tc>
        <w:tc>
          <w:tcPr>
            <w:tcW w:type="dxa" w:w="51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销售、采购、代销、领用、供应商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盘点、利润分析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8 财务与联盟</w:t>
            </w:r>
          </w:p>
        </w:tc>
        <w:tc>
          <w:tcPr>
            <w:tcW w:type="dxa" w:w="51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业务分账、培训20%口径、商户券码、对账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渠道ROI、自动结算接口</w:t>
            </w:r>
          </w:p>
        </w:tc>
      </w:tr>
    </w:tbl>
    <w:p>
      <w:pPr>
        <w:spacing w:after="20"/>
      </w:pPr>
    </w:p>
    <w:p>
      <w:pPr>
        <w:pStyle w:val="Heading1"/>
        <w:spacing w:after="80" w:line="276" w:lineRule="auto"/>
      </w:pPr>
      <w:r>
        <w:rPr>
          <w:rFonts w:ascii="Noto Sans CJK SC" w:hAnsi="Noto Sans CJK SC" w:eastAsia="Noto Sans CJK SC"/>
          <w:sz w:val="21"/>
        </w:rPr>
        <w:t>十一、软件必须实现的关键业务规则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587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编号</w:t>
            </w:r>
          </w:p>
        </w:tc>
        <w:tc>
          <w:tcPr>
            <w:tcW w:type="dxa" w:w="4819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需求</w:t>
            </w:r>
          </w:p>
        </w:tc>
        <w:tc>
          <w:tcPr>
            <w:tcW w:type="dxa" w:w="5669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验收口径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FR-01</w:t>
            </w:r>
          </w:p>
        </w:tc>
        <w:tc>
          <w:tcPr>
            <w:tcW w:type="dxa" w:w="481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每笔订单必须绑定业务类型、收款主体、支付渠道、来源渠道</w:t>
            </w:r>
          </w:p>
        </w:tc>
        <w:tc>
          <w:tcPr>
            <w:tcW w:type="dxa" w:w="56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导出订单明细可追溯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FR-02</w:t>
            </w:r>
          </w:p>
        </w:tc>
        <w:tc>
          <w:tcPr>
            <w:tcW w:type="dxa" w:w="481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培训订单独立账套；预收/消课/退费分开</w:t>
            </w:r>
          </w:p>
        </w:tc>
        <w:tc>
          <w:tcPr>
            <w:tcW w:type="dxa" w:w="56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同一学员可看到未消课余额和已确认收入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FR-03</w:t>
            </w:r>
          </w:p>
        </w:tc>
        <w:tc>
          <w:tcPr>
            <w:tcW w:type="dxa" w:w="481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培训有效流水20%自动生成“计入球馆流水”记录</w:t>
            </w:r>
          </w:p>
        </w:tc>
        <w:tc>
          <w:tcPr>
            <w:tcW w:type="dxa" w:w="56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比例可配置；当前20%；不生成场地费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FR-04</w:t>
            </w:r>
          </w:p>
        </w:tc>
        <w:tc>
          <w:tcPr>
            <w:tcW w:type="dxa" w:w="481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培训占用场地仅记录片数/小时和资源效率</w:t>
            </w:r>
          </w:p>
        </w:tc>
        <w:tc>
          <w:tcPr>
            <w:tcW w:type="dxa" w:w="56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财务应付字段始终不因占场自动增加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FR-05</w:t>
            </w:r>
          </w:p>
        </w:tc>
        <w:tc>
          <w:tcPr>
            <w:tcW w:type="dxa" w:w="481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现金余额、赠送余额、羽球币、赛事积分、成长积分分账</w:t>
            </w:r>
          </w:p>
        </w:tc>
        <w:tc>
          <w:tcPr>
            <w:tcW w:type="dxa" w:w="56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任一账户不能互相错误冲抵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FR-06</w:t>
            </w:r>
          </w:p>
        </w:tc>
        <w:tc>
          <w:tcPr>
            <w:tcW w:type="dxa" w:w="481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推荐关系只允许单层直接推荐</w:t>
            </w:r>
          </w:p>
        </w:tc>
        <w:tc>
          <w:tcPr>
            <w:tcW w:type="dxa" w:w="56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无二级/多级佣金表结构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FR-07</w:t>
            </w:r>
          </w:p>
        </w:tc>
        <w:tc>
          <w:tcPr>
            <w:tcW w:type="dxa" w:w="481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联盟券每张唯一，可追踪来源与核销</w:t>
            </w:r>
          </w:p>
        </w:tc>
        <w:tc>
          <w:tcPr>
            <w:tcW w:type="dxa" w:w="56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重复核销必须拦截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FR-08</w:t>
            </w:r>
          </w:p>
        </w:tc>
        <w:tc>
          <w:tcPr>
            <w:tcW w:type="dxa" w:w="481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外部商户各自收款；本馆余额不得跨商户支付</w:t>
            </w:r>
          </w:p>
        </w:tc>
        <w:tc>
          <w:tcPr>
            <w:tcW w:type="dxa" w:w="56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联盟模块无跨商户余额支付入口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FR-09</w:t>
            </w:r>
          </w:p>
        </w:tc>
        <w:tc>
          <w:tcPr>
            <w:tcW w:type="dxa" w:w="481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权限分级和关键操作日志</w:t>
            </w:r>
          </w:p>
        </w:tc>
        <w:tc>
          <w:tcPr>
            <w:tcW w:type="dxa" w:w="56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手工改余额、改积分、退款需留操作者与时间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FR-10</w:t>
            </w:r>
          </w:p>
        </w:tc>
        <w:tc>
          <w:tcPr>
            <w:tcW w:type="dxa" w:w="481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所有关键参数后台可配置且有生效时间</w:t>
            </w:r>
          </w:p>
        </w:tc>
        <w:tc>
          <w:tcPr>
            <w:tcW w:type="dxa" w:w="56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价格/比例变更不影响历史订单</w:t>
            </w:r>
          </w:p>
        </w:tc>
      </w:tr>
    </w:tbl>
    <w:p>
      <w:pPr>
        <w:spacing w:after="20"/>
      </w:pPr>
    </w:p>
    <w:p>
      <w:pPr>
        <w:pStyle w:val="Heading1"/>
        <w:spacing w:after="80" w:line="276" w:lineRule="auto"/>
      </w:pPr>
      <w:r>
        <w:rPr>
          <w:rFonts w:ascii="Noto Sans CJK SC" w:hAnsi="Noto Sans CJK SC" w:eastAsia="Noto Sans CJK SC"/>
          <w:sz w:val="21"/>
        </w:rPr>
        <w:t>十二、关键数据表与字段建议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3402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数据对象</w:t>
            </w:r>
          </w:p>
        </w:tc>
        <w:tc>
          <w:tcPr>
            <w:tcW w:type="dxa" w:w="8504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关键字段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用户/会员</w:t>
            </w:r>
          </w:p>
        </w:tc>
        <w:tc>
          <w:tcPr>
            <w:tcW w:type="dxa" w:w="85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user_id、手机号、会员等级、来源、推荐人、标签、注册时间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儿童学员</w:t>
            </w:r>
          </w:p>
        </w:tc>
        <w:tc>
          <w:tcPr>
            <w:tcW w:type="dxa" w:w="85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student_id、监护人user_id、出生年月、班级、授权状态；不以儿童手机号为主账号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场地订单</w:t>
            </w:r>
          </w:p>
        </w:tc>
        <w:tc>
          <w:tcPr>
            <w:tcW w:type="dxa" w:w="85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订单号、场地、时段、标价、实付、优惠、来源、支付渠道、状态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培训订单</w:t>
            </w:r>
          </w:p>
        </w:tc>
        <w:tc>
          <w:tcPr>
            <w:tcW w:type="dxa" w:w="85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学员、课程、总课次、金额、预收余额、已消课、退费、合同编号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消课记录</w:t>
            </w:r>
          </w:p>
        </w:tc>
        <w:tc>
          <w:tcPr>
            <w:tcW w:type="dxa" w:w="85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课次、日期、教练、助教、签到、课时收入确认、耗材、占场片时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培训合同结算</w:t>
            </w:r>
          </w:p>
        </w:tc>
        <w:tc>
          <w:tcPr>
            <w:tcW w:type="dxa" w:w="85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周期、有效流水、计入球馆比例、计入球馆金额、状态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赛事</w:t>
            </w:r>
          </w:p>
        </w:tc>
        <w:tc>
          <w:tcPr>
            <w:tcW w:type="dxa" w:w="85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赛事ID、报名、组合、轮次、比分、积分、排名、奖品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羽球币账本</w:t>
            </w:r>
          </w:p>
        </w:tc>
        <w:tc>
          <w:tcPr>
            <w:tcW w:type="dxa" w:w="85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来源、入账、核销、余额、关联订单、失效/冻结状态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联盟券</w:t>
            </w:r>
          </w:p>
        </w:tc>
        <w:tc>
          <w:tcPr>
            <w:tcW w:type="dxa" w:w="85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券码、发行方、合作商户、活动、领取人、核销方、核销时间、归因订单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联盟对账</w:t>
            </w:r>
          </w:p>
        </w:tc>
        <w:tc>
          <w:tcPr>
            <w:tcW w:type="dxa" w:w="85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商户、周期、有效新客、成交额、合作费、确认/结算状态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库存</w:t>
            </w:r>
          </w:p>
        </w:tc>
        <w:tc>
          <w:tcPr>
            <w:tcW w:type="dxa" w:w="85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SKU、供应商、采购/代销属性、进价、售价、库存、领用、销售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审计日志</w:t>
            </w:r>
          </w:p>
        </w:tc>
        <w:tc>
          <w:tcPr>
            <w:tcW w:type="dxa" w:w="85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操作人、角色、动作、对象、旧值、新值、时间、IP/设备信息</w:t>
            </w:r>
          </w:p>
        </w:tc>
      </w:tr>
    </w:tbl>
    <w:p>
      <w:pPr>
        <w:spacing w:after="20"/>
      </w:pPr>
    </w:p>
    <w:p>
      <w:pPr>
        <w:pStyle w:val="Heading1"/>
        <w:spacing w:after="80" w:line="276" w:lineRule="auto"/>
      </w:pPr>
      <w:r>
        <w:rPr>
          <w:rFonts w:ascii="Noto Sans CJK SC" w:hAnsi="Noto Sans CJK SC" w:eastAsia="Noto Sans CJK SC"/>
          <w:sz w:val="21"/>
        </w:rPr>
        <w:t>十三、老板驾驶舱</w:t>
      </w:r>
    </w:p>
    <w:p>
      <w:pPr>
        <w:spacing w:after="80" w:line="276" w:lineRule="auto"/>
        <w:ind w:firstLine="420"/>
      </w:pPr>
      <w:r>
        <w:rPr>
          <w:rFonts w:ascii="Noto Sans CJK SC" w:hAnsi="Noto Sans CJK SC" w:eastAsia="Noto Sans CJK SC"/>
          <w:sz w:val="21"/>
        </w:rPr>
        <w:t>首页不追求“数据多”，只显示真正影响经营决策的指标。建议按今日、本周、本月和自定义周期查看。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835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板块</w:t>
            </w:r>
          </w:p>
        </w:tc>
        <w:tc>
          <w:tcPr>
            <w:tcW w:type="dxa" w:w="8504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核心指标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场地</w:t>
            </w:r>
          </w:p>
        </w:tc>
        <w:tc>
          <w:tcPr>
            <w:tcW w:type="dxa" w:w="85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总出租率、白天出租率、黄金时段出租率、RevPAH（每可售场地小时收入）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会员</w:t>
            </w:r>
          </w:p>
        </w:tc>
        <w:tc>
          <w:tcPr>
            <w:tcW w:type="dxa" w:w="85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新增注册、有效会员、7日复购、30日复购、到期/流失预警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赛事</w:t>
            </w:r>
          </w:p>
        </w:tc>
        <w:tc>
          <w:tcPr>
            <w:tcW w:type="dxa" w:w="85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报名人数、重复参赛率、会员转化、赛事带动订场/培训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培训</w:t>
            </w:r>
          </w:p>
        </w:tc>
        <w:tc>
          <w:tcPr>
            <w:tcW w:type="dxa" w:w="85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新签、试听到课、试听转化、消课收入、未消课余额、现金贡献毛利、教练产出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营销</w:t>
            </w:r>
          </w:p>
        </w:tc>
        <w:tc>
          <w:tcPr>
            <w:tcW w:type="dxa" w:w="85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老带新有效新客、主理人有效人次、羽球币成本率、券核销率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联盟</w:t>
            </w:r>
          </w:p>
        </w:tc>
        <w:tc>
          <w:tcPr>
            <w:tcW w:type="dxa" w:w="85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各商户发券/核销/有效新客/成交额/合作费/ROI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商品</w:t>
            </w:r>
          </w:p>
        </w:tc>
        <w:tc>
          <w:tcPr>
            <w:tcW w:type="dxa" w:w="85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销售额、毛利、库存周转、低库存预警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合同结算</w:t>
            </w:r>
          </w:p>
        </w:tc>
        <w:tc>
          <w:tcPr>
            <w:tcW w:type="dxa" w:w="85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培训有效流水、20%计入球馆流水金额、球馆合同流水总额、结算状态</w:t>
            </w:r>
          </w:p>
        </w:tc>
      </w:tr>
    </w:tbl>
    <w:p>
      <w:pPr>
        <w:spacing w:after="20"/>
      </w:pPr>
    </w:p>
    <w:p>
      <w:pPr>
        <w:pStyle w:val="Heading1"/>
        <w:spacing w:after="80" w:line="276" w:lineRule="auto"/>
      </w:pPr>
      <w:r>
        <w:rPr>
          <w:rFonts w:ascii="Noto Sans CJK SC" w:hAnsi="Noto Sans CJK SC" w:eastAsia="Noto Sans CJK SC"/>
          <w:sz w:val="21"/>
        </w:rPr>
        <w:t>十四、权限、反作弊与异常控制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835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角色</w:t>
            </w:r>
          </w:p>
        </w:tc>
        <w:tc>
          <w:tcPr>
            <w:tcW w:type="dxa" w:w="4535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允许</w:t>
            </w:r>
          </w:p>
        </w:tc>
        <w:tc>
          <w:tcPr>
            <w:tcW w:type="dxa" w:w="4535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禁止/需审批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前台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订场、签到、券核销、普通订单查询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改余额、改积分、批量退款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教练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本班签到、消课建议、成长记录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查看全馆财务、修改收费参数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赛事管理员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报名、编排、比分、奖品核销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修改培训和财务数据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商户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本商户券发行/核销/统计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查看其他商户和会员敏感数据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财务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对账、退款审核、结算、导出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改赛事比分和教学记录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老板/超级管理员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全局配置和审批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关键手工修改仍需日志</w:t>
            </w:r>
          </w:p>
        </w:tc>
      </w:tr>
    </w:tbl>
    <w:p>
      <w:pPr>
        <w:spacing w:after="20"/>
      </w:pP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1"/>
        </w:rPr>
        <w:t>同一设备/手机号短期大量邀请、同一券码重复核销、异常退款后仍发奖励等情况自动风控。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1"/>
        </w:rPr>
        <w:t>推荐奖励在订单完成且过退款观察期后发放；退款时按规则回收尚未使用的奖励。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1"/>
        </w:rPr>
        <w:t>所有手工调整余额、积分、对账金额必须填写原因并保留审计日志。</w:t>
      </w:r>
    </w:p>
    <w:p>
      <w:pPr>
        <w:pStyle w:val="Heading1"/>
        <w:spacing w:after="80" w:line="276" w:lineRule="auto"/>
      </w:pPr>
      <w:r>
        <w:rPr>
          <w:rFonts w:ascii="Noto Sans CJK SC" w:hAnsi="Noto Sans CJK SC" w:eastAsia="Noto Sans CJK SC"/>
          <w:sz w:val="21"/>
        </w:rPr>
        <w:t>十五、合规设计要求（截至2026年8月的公开规则核验）</w:t>
      </w:r>
    </w:p>
    <w:p>
      <w:pPr>
        <w:spacing w:after="80" w:line="276" w:lineRule="auto"/>
        <w:ind w:firstLine="420"/>
      </w:pPr>
      <w:r>
        <w:rPr>
          <w:rFonts w:ascii="Noto Sans CJK SC" w:hAnsi="Noto Sans CJK SC" w:eastAsia="Noto Sans CJK SC"/>
          <w:sz w:val="21"/>
        </w:rPr>
        <w:t>本节用于产品设计边界，不替代律师、会计师或主管部门的正式意见。上线前应结合实际经营主体、营业执照、培训资质、合同和延庆区执行口径做最终复核。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835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事项</w:t>
            </w:r>
          </w:p>
        </w:tc>
        <w:tc>
          <w:tcPr>
            <w:tcW w:type="dxa" w:w="8504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系统设计要求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体育行业预付卡</w:t>
            </w:r>
          </w:p>
        </w:tc>
        <w:tc>
          <w:tcPr>
            <w:tcW w:type="dxa" w:w="85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支持备案/存管所需台账；充值余额、消费、退款可追溯；收费主体与服务主体一致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体育类校外培训</w:t>
            </w:r>
          </w:p>
        </w:tc>
        <w:tc>
          <w:tcPr>
            <w:tcW w:type="dxa" w:w="85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预收资金全额存管；课程购买/销课/退费留痕；产品配置应支持现行收费期限、课时和金额限制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未成年人信息</w:t>
            </w:r>
          </w:p>
        </w:tc>
        <w:tc>
          <w:tcPr>
            <w:tcW w:type="dxa" w:w="85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14岁以下以监护人同意为前提；家长主账号；儿童信息单独规则和最小必要收集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有奖销售</w:t>
            </w:r>
          </w:p>
        </w:tc>
        <w:tc>
          <w:tcPr>
            <w:tcW w:type="dxa" w:w="85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奖项、概率/条件、兑奖方式、公示和记录可追溯；不得虚假中奖或临时篡改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转介绍/主理人</w:t>
            </w:r>
          </w:p>
        </w:tc>
        <w:tc>
          <w:tcPr>
            <w:tcW w:type="dxa" w:w="85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仅一层直接奖励，不设置多层团队收益或发展下级计酬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联盟商户</w:t>
            </w:r>
          </w:p>
        </w:tc>
        <w:tc>
          <w:tcPr>
            <w:tcW w:type="dxa" w:w="85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各自收款；优惠券/权益核销；推广服务费按合同结算并留存对账依据</w:t>
            </w:r>
          </w:p>
        </w:tc>
      </w:tr>
    </w:tbl>
    <w:p>
      <w:pPr>
        <w:spacing w:after="2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sz w:val="21"/>
        </w:rPr>
        <w:t>主要公开依据（开发方应关注后续更新）：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1"/>
        </w:rPr>
        <w:t>北京市体育局：《北京市体育行业单用途预付卡备案和预收资金监管实施细则》及政策解读（2026年5月，tyj.beijing.gov.cn）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1"/>
        </w:rPr>
        <w:t>北京市体育局：体育类校外培训机构资金监管问答（2026年5月，tyj.beijing.gov.cn）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1"/>
        </w:rPr>
        <w:t>北京市体育局：《北京市体育类校外培训机构设置标准（试行）》政策问答（tyj.beijing.gov.cn）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1"/>
        </w:rPr>
        <w:t>国家互联网信息办公室：《个人信息保护法》相关权威解读（cac.gov.cn）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1"/>
        </w:rPr>
        <w:t>商务部：《单用途商业预付卡管理办法（试行）》（mofcom.gov.cn）</w:t>
      </w:r>
    </w:p>
    <w:p>
      <w:pPr>
        <w:pStyle w:val="Heading1"/>
        <w:spacing w:after="80" w:line="276" w:lineRule="auto"/>
      </w:pPr>
      <w:r>
        <w:rPr>
          <w:rFonts w:ascii="Noto Sans CJK SC" w:hAnsi="Noto Sans CJK SC" w:eastAsia="Noto Sans CJK SC"/>
          <w:sz w:val="21"/>
        </w:rPr>
        <w:t>十六、落地顺序：先跑业务，再固化软件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2268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阶段</w:t>
            </w:r>
          </w:p>
        </w:tc>
        <w:tc>
          <w:tcPr>
            <w:tcW w:type="dxa" w:w="2268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周期</w:t>
            </w:r>
          </w:p>
        </w:tc>
        <w:tc>
          <w:tcPr>
            <w:tcW w:type="dxa" w:w="4535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先做什么</w:t>
            </w:r>
          </w:p>
        </w:tc>
        <w:tc>
          <w:tcPr>
            <w:tcW w:type="dxa" w:w="3969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软件重点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阶段0：规则冻结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1周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确认价格、培训20%合同口径、会员权益、推荐/联盟结算规则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形成字段表和验收用例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阶段1：MVP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约30天试运行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体验场、欢乐局、周赛、培训、羽球币、基础联盟券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P0模块；优先扫码/核销/分账/报表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阶段2：稳定运营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第2-3月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主理人扩大、月赛、更多联盟商户、会员产品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自动提醒、渠道ROI、库存、权限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阶段3：优化复制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数据稳定后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AI经营分析、动态营销、更多系统接口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API、自动对账、智能推荐</w:t>
            </w:r>
          </w:p>
        </w:tc>
      </w:tr>
    </w:tbl>
    <w:p>
      <w:pPr>
        <w:spacing w:after="20"/>
      </w:pP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sz w:val="21"/>
        </w:rPr>
        <w:t>首期30天必须盯的十个数字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535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指标</w:t>
            </w:r>
          </w:p>
        </w:tc>
        <w:tc>
          <w:tcPr>
            <w:tcW w:type="dxa" w:w="6803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意义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新客注册数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获客量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首次到店率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渠道质量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7日复购率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初步锁客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30日复购率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真实留存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白天场地利用率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闲置产能改善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周赛重复参赛率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赛事粘性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试听到课率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培训线索质量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试听转正式课率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培训销售能力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老带新有效新客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用户裂变效率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联盟商户有效新客/ROI</w:t>
            </w:r>
          </w:p>
        </w:tc>
        <w:tc>
          <w:tcPr>
            <w:tcW w:type="dxa" w:w="680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外部生态效率</w:t>
            </w:r>
          </w:p>
        </w:tc>
      </w:tr>
    </w:tbl>
    <w:p>
      <w:pPr>
        <w:spacing w:after="20"/>
      </w:pPr>
    </w:p>
    <w:p>
      <w:pPr>
        <w:pStyle w:val="Heading1"/>
        <w:spacing w:after="80" w:line="276" w:lineRule="auto"/>
      </w:pPr>
      <w:r>
        <w:rPr>
          <w:rFonts w:ascii="Noto Sans CJK SC" w:hAnsi="Noto Sans CJK SC" w:eastAsia="Noto Sans CJK SC"/>
          <w:sz w:val="21"/>
        </w:rPr>
        <w:t>十七、提交软件公司的验收清单</w:t>
      </w:r>
    </w:p>
    <w:p>
      <w:pPr>
        <w:spacing w:after="40"/>
      </w:pPr>
      <w:r>
        <w:rPr>
          <w:rFonts w:ascii="Noto Sans CJK SC" w:hAnsi="Noto Sans CJK SC" w:eastAsia="Noto Sans CJK SC"/>
          <w:sz w:val="22"/>
        </w:rPr>
        <w:t xml:space="preserve">☐ </w:t>
      </w:r>
      <w:r>
        <w:rPr>
          <w:rFonts w:ascii="Noto Sans CJK SC" w:hAnsi="Noto Sans CJK SC" w:eastAsia="Noto Sans CJK SC"/>
          <w:sz w:val="21"/>
        </w:rPr>
        <w:t>能够创建培训订单并区分预收、已消课、未消课、退费。</w:t>
      </w:r>
    </w:p>
    <w:p>
      <w:pPr>
        <w:spacing w:after="40"/>
      </w:pPr>
      <w:r>
        <w:rPr>
          <w:rFonts w:ascii="Noto Sans CJK SC" w:hAnsi="Noto Sans CJK SC" w:eastAsia="Noto Sans CJK SC"/>
          <w:sz w:val="22"/>
        </w:rPr>
        <w:t xml:space="preserve">☐ </w:t>
      </w:r>
      <w:r>
        <w:rPr>
          <w:rFonts w:ascii="Noto Sans CJK SC" w:hAnsi="Noto Sans CJK SC" w:eastAsia="Noto Sans CJK SC"/>
          <w:sz w:val="21"/>
        </w:rPr>
        <w:t>培训流水20%自动进入“球馆合同流水”字段，且系统不会另生成培训场地费。</w:t>
      </w:r>
    </w:p>
    <w:p>
      <w:pPr>
        <w:spacing w:after="40"/>
      </w:pPr>
      <w:r>
        <w:rPr>
          <w:rFonts w:ascii="Noto Sans CJK SC" w:hAnsi="Noto Sans CJK SC" w:eastAsia="Noto Sans CJK SC"/>
          <w:sz w:val="22"/>
        </w:rPr>
        <w:t xml:space="preserve">☐ </w:t>
      </w:r>
      <w:r>
        <w:rPr>
          <w:rFonts w:ascii="Noto Sans CJK SC" w:hAnsi="Noto Sans CJK SC" w:eastAsia="Noto Sans CJK SC"/>
          <w:sz w:val="21"/>
        </w:rPr>
        <w:t>培训占场片时可统计但不会影响应付账款。</w:t>
      </w:r>
    </w:p>
    <w:p>
      <w:pPr>
        <w:spacing w:after="40"/>
      </w:pPr>
      <w:r>
        <w:rPr>
          <w:rFonts w:ascii="Noto Sans CJK SC" w:hAnsi="Noto Sans CJK SC" w:eastAsia="Noto Sans CJK SC"/>
          <w:sz w:val="22"/>
        </w:rPr>
        <w:t xml:space="preserve">☐ </w:t>
      </w:r>
      <w:r>
        <w:rPr>
          <w:rFonts w:ascii="Noto Sans CJK SC" w:hAnsi="Noto Sans CJK SC" w:eastAsia="Noto Sans CJK SC"/>
          <w:sz w:val="21"/>
        </w:rPr>
        <w:t>现金余额、赠送余额、羽球币、赛事积分、成长积分五类账户互不混淆。</w:t>
      </w:r>
    </w:p>
    <w:p>
      <w:pPr>
        <w:spacing w:after="40"/>
      </w:pPr>
      <w:r>
        <w:rPr>
          <w:rFonts w:ascii="Noto Sans CJK SC" w:hAnsi="Noto Sans CJK SC" w:eastAsia="Noto Sans CJK SC"/>
          <w:sz w:val="22"/>
        </w:rPr>
        <w:t xml:space="preserve">☐ </w:t>
      </w:r>
      <w:r>
        <w:rPr>
          <w:rFonts w:ascii="Noto Sans CJK SC" w:hAnsi="Noto Sans CJK SC" w:eastAsia="Noto Sans CJK SC"/>
          <w:sz w:val="21"/>
        </w:rPr>
        <w:t>可创建瑞士积分赛事并记录五轮比分、积分和排名。</w:t>
      </w:r>
    </w:p>
    <w:p>
      <w:pPr>
        <w:spacing w:after="40"/>
      </w:pPr>
      <w:r>
        <w:rPr>
          <w:rFonts w:ascii="Noto Sans CJK SC" w:hAnsi="Noto Sans CJK SC" w:eastAsia="Noto Sans CJK SC"/>
          <w:sz w:val="22"/>
        </w:rPr>
        <w:t xml:space="preserve">☐ </w:t>
      </w:r>
      <w:r>
        <w:rPr>
          <w:rFonts w:ascii="Noto Sans CJK SC" w:hAnsi="Noto Sans CJK SC" w:eastAsia="Noto Sans CJK SC"/>
          <w:sz w:val="21"/>
        </w:rPr>
        <w:t>可创建球局主理人，奖励只与其直接组织的真实消费/核销相关。</w:t>
      </w:r>
    </w:p>
    <w:p>
      <w:pPr>
        <w:spacing w:after="40"/>
      </w:pPr>
      <w:r>
        <w:rPr>
          <w:rFonts w:ascii="Noto Sans CJK SC" w:hAnsi="Noto Sans CJK SC" w:eastAsia="Noto Sans CJK SC"/>
          <w:sz w:val="22"/>
        </w:rPr>
        <w:t xml:space="preserve">☐ </w:t>
      </w:r>
      <w:r>
        <w:rPr>
          <w:rFonts w:ascii="Noto Sans CJK SC" w:hAnsi="Noto Sans CJK SC" w:eastAsia="Noto Sans CJK SC"/>
          <w:sz w:val="21"/>
        </w:rPr>
        <w:t>可批量生成联盟唯一二维码，并做到领取、核销、来源、归因、对账闭环。</w:t>
      </w:r>
    </w:p>
    <w:p>
      <w:pPr>
        <w:spacing w:after="40"/>
      </w:pPr>
      <w:r>
        <w:rPr>
          <w:rFonts w:ascii="Noto Sans CJK SC" w:hAnsi="Noto Sans CJK SC" w:eastAsia="Noto Sans CJK SC"/>
          <w:sz w:val="22"/>
        </w:rPr>
        <w:t xml:space="preserve">☐ </w:t>
      </w:r>
      <w:r>
        <w:rPr>
          <w:rFonts w:ascii="Noto Sans CJK SC" w:hAnsi="Noto Sans CJK SC" w:eastAsia="Noto Sans CJK SC"/>
          <w:sz w:val="21"/>
        </w:rPr>
        <w:t>合作商户看不到不必要的会员个人信息，只能看本商户的活动与对账数据。</w:t>
      </w:r>
    </w:p>
    <w:p>
      <w:pPr>
        <w:spacing w:after="40"/>
      </w:pPr>
      <w:r>
        <w:rPr>
          <w:rFonts w:ascii="Noto Sans CJK SC" w:hAnsi="Noto Sans CJK SC" w:eastAsia="Noto Sans CJK SC"/>
          <w:sz w:val="22"/>
        </w:rPr>
        <w:t xml:space="preserve">☐ </w:t>
      </w:r>
      <w:r>
        <w:rPr>
          <w:rFonts w:ascii="Noto Sans CJK SC" w:hAnsi="Noto Sans CJK SC" w:eastAsia="Noto Sans CJK SC"/>
          <w:sz w:val="21"/>
        </w:rPr>
        <w:t>关键参数（价格、20%比例、会员权益、券有效期、奖励额）后台可配置且有生效日期。</w:t>
      </w:r>
    </w:p>
    <w:p>
      <w:pPr>
        <w:spacing w:after="40"/>
      </w:pPr>
      <w:r>
        <w:rPr>
          <w:rFonts w:ascii="Noto Sans CJK SC" w:hAnsi="Noto Sans CJK SC" w:eastAsia="Noto Sans CJK SC"/>
          <w:sz w:val="22"/>
        </w:rPr>
        <w:t xml:space="preserve">☐ </w:t>
      </w:r>
      <w:r>
        <w:rPr>
          <w:rFonts w:ascii="Noto Sans CJK SC" w:hAnsi="Noto Sans CJK SC" w:eastAsia="Noto Sans CJK SC"/>
          <w:sz w:val="21"/>
        </w:rPr>
        <w:t>订单、培训、联盟、库存、财务数据均支持Excel导出；系统停用时数据可完整迁出。</w:t>
      </w:r>
    </w:p>
    <w:p>
      <w:pPr>
        <w:spacing w:after="40"/>
      </w:pPr>
      <w:r>
        <w:rPr>
          <w:rFonts w:ascii="Noto Sans CJK SC" w:hAnsi="Noto Sans CJK SC" w:eastAsia="Noto Sans CJK SC"/>
          <w:sz w:val="22"/>
        </w:rPr>
        <w:t xml:space="preserve">☐ </w:t>
      </w:r>
      <w:r>
        <w:rPr>
          <w:rFonts w:ascii="Noto Sans CJK SC" w:hAnsi="Noto Sans CJK SC" w:eastAsia="Noto Sans CJK SC"/>
          <w:sz w:val="21"/>
        </w:rPr>
        <w:t>退款、手工改余额/积分、对账调整均有权限控制和审计日志。</w:t>
      </w:r>
    </w:p>
    <w:p>
      <w:pPr>
        <w:spacing w:after="40"/>
      </w:pPr>
      <w:r>
        <w:rPr>
          <w:rFonts w:ascii="Noto Sans CJK SC" w:hAnsi="Noto Sans CJK SC" w:eastAsia="Noto Sans CJK SC"/>
          <w:sz w:val="22"/>
        </w:rPr>
        <w:t xml:space="preserve">☐ </w:t>
      </w:r>
      <w:r>
        <w:rPr>
          <w:rFonts w:ascii="Noto Sans CJK SC" w:hAnsi="Noto Sans CJK SC" w:eastAsia="Noto Sans CJK SC"/>
          <w:sz w:val="21"/>
        </w:rPr>
        <w:t>提供测试环境，按真实业务场景逐项验收，不只看界面演示。</w:t>
      </w:r>
    </w:p>
    <w:p>
      <w:pPr>
        <w:pStyle w:val="Heading1"/>
        <w:spacing w:after="80" w:line="276" w:lineRule="auto"/>
      </w:pPr>
      <w:r>
        <w:rPr>
          <w:rFonts w:ascii="Noto Sans CJK SC" w:hAnsi="Noto Sans CJK SC" w:eastAsia="Noto Sans CJK SC"/>
          <w:sz w:val="21"/>
        </w:rPr>
        <w:t>附件A：经营闭环总图（文字版）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4E3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785000"/>
                <w:sz w:val="21"/>
              </w:rPr>
              <w:t>内部闭环：</w:t>
            </w:r>
            <w:r>
              <w:rPr>
                <w:rFonts w:ascii="Noto Sans CJK SC" w:hAnsi="Noto Sans CJK SC" w:eastAsia="Noto Sans CJK SC"/>
                <w:sz w:val="21"/>
              </w:rPr>
              <w:t>抖音/美团/趣运动/朋友介绍/联盟商户 → 新客体验/欢乐局 → 普通会员 → 固定球局/社群 → 瑞士周赛/月赛 → 积分等级/荣誉 → 培训/商品/拉线 → 核心球友/主理人 → 带来新客 → 再进入闭环。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4E3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785000"/>
                <w:sz w:val="21"/>
              </w:rPr>
              <w:t>外部闭环：</w:t>
            </w:r>
            <w:r>
              <w:rPr>
                <w:rFonts w:ascii="Noto Sans CJK SC" w:hAnsi="Noto Sans CJK SC" w:eastAsia="Noto Sans CJK SC"/>
                <w:sz w:val="21"/>
              </w:rPr>
              <w:t>球馆会员 → 万达电影/餐饮/咖啡/亲子等权益 → 联盟商户获得真实客流 → 商户通过唯一券码向球馆引流 → 新客进入订场/赛事/培训 → 数据归因与月度结算 → 双方继续增加权益。</w:t>
            </w:r>
          </w:p>
        </w:tc>
      </w:tr>
    </w:tbl>
    <w:p>
      <w:pPr>
        <w:spacing w:after="20"/>
      </w:pPr>
    </w:p>
    <w:p>
      <w:pPr>
        <w:pStyle w:val="Heading1"/>
        <w:spacing w:after="80" w:line="276" w:lineRule="auto"/>
      </w:pPr>
      <w:r>
        <w:rPr>
          <w:rFonts w:ascii="Noto Sans CJK SC" w:hAnsi="Noto Sans CJK SC" w:eastAsia="Noto Sans CJK SC"/>
          <w:sz w:val="21"/>
        </w:rPr>
        <w:t>附件B：建议开发报价拆分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835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包</w:t>
            </w:r>
          </w:p>
        </w:tc>
        <w:tc>
          <w:tcPr>
            <w:tcW w:type="dxa" w:w="5669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范围</w:t>
            </w:r>
          </w:p>
        </w:tc>
        <w:tc>
          <w:tcPr>
            <w:tcW w:type="dxa" w:w="3969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MVP基础包</w:t>
            </w:r>
          </w:p>
        </w:tc>
        <w:tc>
          <w:tcPr>
            <w:tcW w:type="dxa" w:w="56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会员、场地、球局、培训、赛事、羽球币、联盟券、基础财务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先上线，避免一次开发过重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经营增强包</w:t>
            </w:r>
          </w:p>
        </w:tc>
        <w:tc>
          <w:tcPr>
            <w:tcW w:type="dxa" w:w="56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库存、主理人、渠道ROI、自动提醒、更多报表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MVP稳定后追加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接口智能包</w:t>
            </w:r>
          </w:p>
        </w:tc>
        <w:tc>
          <w:tcPr>
            <w:tcW w:type="dxa" w:w="56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趣运动/门禁/POS/API、AI经营分析</w:t>
            </w:r>
          </w:p>
        </w:tc>
        <w:tc>
          <w:tcPr>
            <w:tcW w:type="dxa" w:w="396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验证收益后再投入</w:t>
            </w:r>
          </w:p>
        </w:tc>
      </w:tr>
    </w:tbl>
    <w:p>
      <w:pPr>
        <w:spacing w:after="20"/>
      </w:pPr>
    </w:p>
    <w:p>
      <w:pPr>
        <w:pStyle w:val="Heading1"/>
        <w:spacing w:after="80" w:line="276" w:lineRule="auto"/>
      </w:pPr>
      <w:r>
        <w:rPr>
          <w:rFonts w:ascii="Noto Sans CJK SC" w:hAnsi="Noto Sans CJK SC" w:eastAsia="Noto Sans CJK SC"/>
          <w:sz w:val="21"/>
        </w:rPr>
        <w:t>附件C：开发交付物要求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1"/>
        </w:rPr>
        <w:t>完整需求确认书与流程图；数据库字段说明；角色权限表；接口说明。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1"/>
        </w:rPr>
        <w:t>测试账号与测试环境；验收用例；异常场景说明。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1"/>
        </w:rPr>
        <w:t>源码/部署/二开边界明确；服务器、域名、短信、微信支付等第三方费用单列。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1"/>
        </w:rPr>
        <w:t>会员、订单、培训、积分、券码、对账数据可导出；数据归属归球馆方。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1"/>
        </w:rPr>
        <w:t>备份、日志、隐私、账号注销、数据删除/匿名化机制明确。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21"/>
        </w:rPr>
        <w:t>最终原则：先把经营规则跑通，再让软件固化规则；第一版以可用、可核算、可追踪、可对账为优先，不追求花哨功能。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延庆羽毛球馆会员生态经营与小程序系统需求书 V1.0｜内部讨论与开发需求文件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466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C5F8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6E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E466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延庆羽毛球馆会员生态经营与小程序系统需求书 V1.0</dc:title>
  <dc:subject>经营模式、财务分账、培训核算、赛事、会员、异业联盟与小程序开发需求</dc:subject>
  <dc:creator/>
  <cp:keywords>延庆羽毛球馆; 小程序; 培训核算; 会员; 瑞士积分赛; 异业联盟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