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pc1vzjxodgg" w:id="0"/>
      <w:bookmarkEnd w:id="0"/>
      <w:r w:rsidDel="00000000" w:rsidR="00000000" w:rsidRPr="00000000">
        <w:rPr>
          <w:rtl w:val="0"/>
        </w:rPr>
        <w:t xml:space="preserve">Перелік бюджетних програм, у тому числі посилання на оприлюднені ресурси в Інтернеті</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Rule="auto"/>
              <w:rPr/>
            </w:pPr>
            <w:hyperlink r:id="rId6">
              <w:r w:rsidDel="00000000" w:rsidR="00000000" w:rsidRPr="00000000">
                <w:rPr>
                  <w:color w:val="1155cc"/>
                  <w:u w:val="single"/>
                  <w:rtl w:val="0"/>
                </w:rPr>
                <w:t xml:space="preserve">Бюджетний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Наказ Мінфіну України «Про деякі питання запровадження програмно-цільового методу складання та виконання місцевих бюджетів» від 26.08.2014 № 836</w:t>
              </w:r>
            </w:hyperlink>
            <w:r w:rsidDel="00000000" w:rsidR="00000000" w:rsidRPr="00000000">
              <w:rPr>
                <w:rtl w:val="0"/>
              </w:rPr>
              <w:t xml:space="preserve">, </w:t>
            </w:r>
            <w:hyperlink r:id="rId8">
              <w:r w:rsidDel="00000000" w:rsidR="00000000" w:rsidRPr="00000000">
                <w:rPr>
                  <w:color w:val="1155cc"/>
                  <w:u w:val="single"/>
                  <w:rtl w:val="0"/>
                </w:rPr>
                <w:t xml:space="preserve">Наказ Мінфіну України «Про затвердження складових програмної класифікації видатків та кредитування місцевих бюджетів» від 20.09.2017 № 793</w:t>
              </w:r>
            </w:hyperlink>
            <w:r w:rsidDel="00000000" w:rsidR="00000000" w:rsidRPr="00000000">
              <w:rPr>
                <w:rtl w:val="0"/>
              </w:rPr>
              <w:t xml:space="preserve">, </w:t>
            </w:r>
            <w:hyperlink r:id="rId9">
              <w:r w:rsidDel="00000000" w:rsidR="00000000" w:rsidRPr="00000000">
                <w:rPr>
                  <w:color w:val="1155cc"/>
                  <w:u w:val="single"/>
                  <w:rtl w:val="0"/>
                </w:rPr>
                <w:t xml:space="preserve">Наказ Мінфіну України «Про затвердження Типової форми рішення про місцевий бюджет» від 03.08.2018 № 668</w:t>
              </w:r>
            </w:hyperlink>
            <w:r w:rsidDel="00000000" w:rsidR="00000000" w:rsidRPr="00000000">
              <w:rPr>
                <w:rtl w:val="0"/>
              </w:rPr>
              <w:t xml:space="preserve">, нормативно-правові акти, які визначають типові переліки бюджетних програм місцевих бюджетів</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Перелік бюджетних програм визначається під час формування і затвердження бюджету (стаття 20 Бюджетного кодексу). Паспорти та звіти про виконання паспортів бюджетних програм складаються відповідно до Наказу Мінфіну України від 26.08.2014 № 836.</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Затвердження бюджету, паспортів бюджетних програм, внесення змін до них, складення звітів про виконання паспортів бюджетних програм.</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0" w:before="0" w:lineRule="auto"/>
        <w:rPr/>
      </w:pPr>
      <w:r w:rsidDel="00000000" w:rsidR="00000000" w:rsidRPr="00000000">
        <w:rPr>
          <w:rtl w:val="0"/>
        </w:rPr>
        <w:t xml:space="preserve">Відповідно до статті 20 Бюджетного кодексу України перелік бюджетних програм визначається під час формування і затвердження бюджету. Типова програмна класифікація видатків та кредитування місцевих бюджетів затверджена </w:t>
      </w:r>
      <w:hyperlink r:id="rId10">
        <w:r w:rsidDel="00000000" w:rsidR="00000000" w:rsidRPr="00000000">
          <w:rPr>
            <w:color w:val="1155cc"/>
            <w:u w:val="single"/>
            <w:rtl w:val="0"/>
          </w:rPr>
          <w:t xml:space="preserve">Наказом Мінфіну України від 20.09.2017 № 793</w:t>
        </w:r>
      </w:hyperlink>
      <w:r w:rsidDel="00000000" w:rsidR="00000000" w:rsidRPr="00000000">
        <w:rPr>
          <w:rtl w:val="0"/>
        </w:rPr>
        <w:t xml:space="preserve">. </w:t>
      </w:r>
      <w:r w:rsidDel="00000000" w:rsidR="00000000" w:rsidRPr="00000000">
        <w:rPr>
          <w:rtl w:val="0"/>
        </w:rPr>
        <w:t xml:space="preserve">Окремими нормативно-правовими актами затверджені т</w:t>
      </w:r>
      <w:r w:rsidDel="00000000" w:rsidR="00000000" w:rsidRPr="00000000">
        <w:rPr>
          <w:rtl w:val="0"/>
        </w:rPr>
        <w:t xml:space="preserve">ипові переліки бюджетних програм місцевих бюджетів та результативних показників їх виконання:</w:t>
      </w:r>
    </w:p>
    <w:p w:rsidR="00000000" w:rsidDel="00000000" w:rsidP="00000000" w:rsidRDefault="00000000" w:rsidRPr="00000000" w14:paraId="00000013">
      <w:pPr>
        <w:numPr>
          <w:ilvl w:val="0"/>
          <w:numId w:val="1"/>
        </w:numPr>
        <w:spacing w:after="0" w:before="0" w:lineRule="auto"/>
        <w:ind w:left="720" w:hanging="360"/>
        <w:rPr>
          <w:u w:val="none"/>
        </w:rPr>
      </w:pPr>
      <w:hyperlink r:id="rId11">
        <w:r w:rsidDel="00000000" w:rsidR="00000000" w:rsidRPr="00000000">
          <w:rPr>
            <w:color w:val="1155cc"/>
            <w:u w:val="single"/>
            <w:rtl w:val="0"/>
          </w:rPr>
          <w:t xml:space="preserve">Наказ Міністерства фінансів України від 27.09.2012 року № 1035</w:t>
        </w:r>
      </w:hyperlink>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pPr>
      <w:hyperlink r:id="rId12">
        <w:r w:rsidDel="00000000" w:rsidR="00000000" w:rsidRPr="00000000">
          <w:rPr>
            <w:color w:val="1155cc"/>
            <w:u w:val="single"/>
            <w:rtl w:val="0"/>
          </w:rPr>
          <w:t xml:space="preserve">Наказ Міністерства соціальної політики України від 14.05.2018 № 688</w:t>
        </w:r>
      </w:hyperlink>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rPr>
          <w:u w:val="none"/>
        </w:rPr>
      </w:pPr>
      <w:hyperlink r:id="rId13">
        <w:r w:rsidDel="00000000" w:rsidR="00000000" w:rsidRPr="00000000">
          <w:rPr>
            <w:color w:val="1155cc"/>
            <w:u w:val="single"/>
            <w:rtl w:val="0"/>
          </w:rPr>
          <w:t xml:space="preserve">Наказ Міністерства освіти і науки України від 10.07.2017 № 992</w:t>
        </w:r>
      </w:hyperlink>
      <w:r w:rsidDel="00000000" w:rsidR="00000000" w:rsidRPr="00000000">
        <w:rPr>
          <w:rtl w:val="0"/>
        </w:rPr>
      </w:r>
    </w:p>
    <w:p w:rsidR="00000000" w:rsidDel="00000000" w:rsidP="00000000" w:rsidRDefault="00000000" w:rsidRPr="00000000" w14:paraId="00000016">
      <w:pPr>
        <w:numPr>
          <w:ilvl w:val="0"/>
          <w:numId w:val="1"/>
        </w:numPr>
        <w:spacing w:after="0" w:lineRule="auto"/>
        <w:ind w:left="720" w:hanging="360"/>
        <w:rPr>
          <w:u w:val="none"/>
        </w:rPr>
      </w:pPr>
      <w:hyperlink r:id="rId14">
        <w:r w:rsidDel="00000000" w:rsidR="00000000" w:rsidRPr="00000000">
          <w:rPr>
            <w:color w:val="1155cc"/>
            <w:u w:val="single"/>
            <w:rtl w:val="0"/>
          </w:rPr>
          <w:t xml:space="preserve">Наказ Міністерства молоді та спорту України від 24.11.2016 року № 4408</w:t>
        </w:r>
      </w:hyperlink>
      <w:r w:rsidDel="00000000" w:rsidR="00000000" w:rsidRPr="00000000">
        <w:rPr>
          <w:rtl w:val="0"/>
        </w:rPr>
      </w:r>
    </w:p>
    <w:p w:rsidR="00000000" w:rsidDel="00000000" w:rsidP="00000000" w:rsidRDefault="00000000" w:rsidRPr="00000000" w14:paraId="00000017">
      <w:pPr>
        <w:numPr>
          <w:ilvl w:val="0"/>
          <w:numId w:val="1"/>
        </w:numPr>
        <w:spacing w:after="0" w:lineRule="auto"/>
        <w:ind w:left="720" w:hanging="360"/>
        <w:rPr>
          <w:u w:val="none"/>
        </w:rPr>
      </w:pPr>
      <w:hyperlink r:id="rId15">
        <w:r w:rsidDel="00000000" w:rsidR="00000000" w:rsidRPr="00000000">
          <w:rPr>
            <w:color w:val="1155cc"/>
            <w:u w:val="single"/>
            <w:rtl w:val="0"/>
          </w:rPr>
          <w:t xml:space="preserve">Наказ Міністерства фінансів України та Міністерства охорони здоров’я України від 26.05.2010 № 283/437</w:t>
        </w:r>
      </w:hyperlink>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rPr>
          <w:u w:val="none"/>
        </w:rPr>
      </w:pPr>
      <w:hyperlink r:id="rId16">
        <w:r w:rsidDel="00000000" w:rsidR="00000000" w:rsidRPr="00000000">
          <w:rPr>
            <w:color w:val="1155cc"/>
            <w:u w:val="single"/>
            <w:rtl w:val="0"/>
          </w:rPr>
          <w:t xml:space="preserve">Наказ Міністерства фінансів України та Міністерства культури і туризму України від 01.10.2010 № 1150/41</w:t>
        </w:r>
      </w:hyperlink>
      <w:r w:rsidDel="00000000" w:rsidR="00000000" w:rsidRPr="00000000">
        <w:rPr>
          <w:rtl w:val="0"/>
        </w:rPr>
      </w:r>
    </w:p>
    <w:p w:rsidR="00000000" w:rsidDel="00000000" w:rsidP="00000000" w:rsidRDefault="00000000" w:rsidRPr="00000000" w14:paraId="00000019">
      <w:pPr>
        <w:numPr>
          <w:ilvl w:val="0"/>
          <w:numId w:val="1"/>
        </w:numPr>
        <w:spacing w:after="200" w:lineRule="auto"/>
        <w:ind w:left="720" w:hanging="360"/>
        <w:rPr>
          <w:u w:val="none"/>
        </w:rPr>
      </w:pPr>
      <w:hyperlink r:id="rId17">
        <w:r w:rsidDel="00000000" w:rsidR="00000000" w:rsidRPr="00000000">
          <w:rPr>
            <w:color w:val="1155cc"/>
            <w:u w:val="single"/>
            <w:rtl w:val="0"/>
          </w:rPr>
          <w:t xml:space="preserve">Наказ Міністерства молоді та спорту України від 23.11.2016 року № 4393</w:t>
        </w:r>
      </w:hyperlink>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Головні розпорядники бюджетних коштів складають та ухвалюють паспорти бюджетних програм відповідно до Правил, затверджених </w:t>
      </w:r>
      <w:hyperlink r:id="rId18">
        <w:r w:rsidDel="00000000" w:rsidR="00000000" w:rsidRPr="00000000">
          <w:rPr>
            <w:color w:val="1155cc"/>
            <w:u w:val="single"/>
            <w:rtl w:val="0"/>
          </w:rPr>
          <w:t xml:space="preserve">Наказом Мінфіну України від 26.08.2014 № 836</w:t>
        </w:r>
      </w:hyperlink>
      <w:r w:rsidDel="00000000" w:rsidR="00000000" w:rsidRPr="00000000">
        <w:rPr>
          <w:rtl w:val="0"/>
        </w:rPr>
        <w:t xml:space="preserve">.</w:t>
      </w:r>
    </w:p>
    <w:p w:rsidR="00000000" w:rsidDel="00000000" w:rsidP="00000000" w:rsidRDefault="00000000" w:rsidRPr="00000000" w14:paraId="0000001B">
      <w:pPr>
        <w:pStyle w:val="Heading1"/>
        <w:spacing w:after="200" w:lineRule="auto"/>
        <w:rPr/>
      </w:pPr>
      <w:bookmarkStart w:colFirst="0" w:colLast="0" w:name="_s4rw4h596gwb"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70"/>
        <w:gridCol w:w="5130"/>
        <w:tblGridChange w:id="0">
          <w:tblGrid>
            <w:gridCol w:w="3870"/>
            <w:gridCol w:w="51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Одна бюджетна програма</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hyperlink r:id="rId19">
              <w:r w:rsidDel="00000000" w:rsidR="00000000" w:rsidRPr="00000000">
                <w:rPr>
                  <w:color w:val="1155cc"/>
                  <w:u w:val="single"/>
                  <w:rtl w:val="0"/>
                </w:rPr>
                <w:t xml:space="preserve">Programs.xlsx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5">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00" w:lineRule="auto"/>
        <w:jc w:val="center"/>
        <w:rPr/>
      </w:pPr>
      <w:r w:rsidDel="00000000" w:rsidR="00000000" w:rsidRPr="00000000">
        <w:rPr>
          <w:b w:val="1"/>
          <w:rtl w:val="0"/>
        </w:rPr>
        <w:t xml:space="preserve">Таблиця 1 — Структура таблиці Programs</w:t>
      </w:r>
      <w:r w:rsidDel="00000000" w:rsidR="00000000" w:rsidRPr="00000000">
        <w:rPr>
          <w:rtl w:val="0"/>
        </w:rPr>
      </w:r>
    </w:p>
    <w:tbl>
      <w:tblPr>
        <w:tblStyle w:val="Table4"/>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50"/>
        <w:gridCol w:w="1740"/>
        <w:gridCol w:w="3120"/>
        <w:gridCol w:w="1305"/>
        <w:gridCol w:w="1515"/>
        <w:tblGridChange w:id="0">
          <w:tblGrid>
            <w:gridCol w:w="1350"/>
            <w:gridCol w:w="1740"/>
            <w:gridCol w:w="3120"/>
            <w:gridCol w:w="1305"/>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Код</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Семизначний код бюджетної програми. Наприклад: 0123456.</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period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Період</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Число, що позначає календарний рік </w:t>
            </w:r>
            <w:r w:rsidDel="00000000" w:rsidR="00000000" w:rsidRPr="00000000">
              <w:rPr>
                <w:rtl w:val="0"/>
              </w:rPr>
              <w:t xml:space="preserve">бюджетного</w:t>
            </w:r>
            <w:r w:rsidDel="00000000" w:rsidR="00000000" w:rsidRPr="00000000">
              <w:rPr>
                <w:rtl w:val="0"/>
              </w:rPr>
              <w:t xml:space="preserve"> періоду. Наприклад: 2017.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Рік (gYear)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Найменування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Найменування бюджетної програми. Наприклад: Надання дошкільної освіти.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executantName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rPr/>
            </w:pPr>
            <w:r w:rsidDel="00000000" w:rsidR="00000000" w:rsidRPr="00000000">
              <w:rPr>
                <w:rtl w:val="0"/>
              </w:rPr>
              <w:t xml:space="preserve">Найменування виконавця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Найменування відповідального виконавця програми. Наприклад: Департамент освіти Луцької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executantIdentifier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rPr/>
            </w:pPr>
            <w:r w:rsidDel="00000000" w:rsidR="00000000" w:rsidRPr="00000000">
              <w:rPr>
                <w:rtl w:val="0"/>
              </w:rPr>
              <w:t xml:space="preserve">Ідентифікатор виконавця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sz w:val="23"/>
                <w:szCs w:val="23"/>
                <w:rtl w:val="0"/>
              </w:rPr>
              <w:t xml:space="preserve">Код ЄДРПОУ відповідального виконавця програми. Наприклад: 01234567.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passportURL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Паспорт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rPr/>
            </w:pPr>
            <w:r w:rsidDel="00000000" w:rsidR="00000000" w:rsidRPr="00000000">
              <w:rPr>
                <w:rtl w:val="0"/>
              </w:rPr>
              <w:t xml:space="preserve">Посилання на паспорт бюджетної програми, що оприлюднений в мережі Інтернет. Посилання має починатися з http:// або https://. Наприклад: https://www.example.gov.ua/example.xlsx.</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reportURL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rPr/>
            </w:pPr>
            <w:r w:rsidDel="00000000" w:rsidR="00000000" w:rsidRPr="00000000">
              <w:rPr>
                <w:rtl w:val="0"/>
              </w:rPr>
              <w:t xml:space="preserve">Звіт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Посилання на звіт про виконання паспорта бюджетної програми, що оприлюднений у мережі Інтернет. Посилання має починатися з http:// або https://. Наприклад: https://www.example.gov.ua/example.xlsx. У випадку, якщо звіт ще не оприлюднений,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rPr/>
            </w:pPr>
            <w:r w:rsidDel="00000000" w:rsidR="00000000" w:rsidRPr="00000000">
              <w:rPr>
                <w:rtl w:val="0"/>
              </w:rPr>
              <w:t xml:space="preserve">orderType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Вид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Вид розпорядчого документа, яким затверджено паспорт бюджетної програми. Наприклад: Наказ.</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rPr/>
            </w:pPr>
            <w:r w:rsidDel="00000000" w:rsidR="00000000" w:rsidRPr="00000000">
              <w:rPr>
                <w:rtl w:val="0"/>
              </w:rPr>
              <w:t xml:space="preserve">orderTitle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Назва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rPr/>
            </w:pPr>
            <w:r w:rsidDel="00000000" w:rsidR="00000000" w:rsidRPr="00000000">
              <w:rPr>
                <w:rtl w:val="0"/>
              </w:rPr>
              <w:t xml:space="preserve">Назва розпорядчого документа, яким затверджено паспорт бюджетної програми. Наприклад: Про затвердження паспорта бюджетної програми «Надання дошкільної освіти».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orderDateAccepted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rPr/>
            </w:pPr>
            <w:r w:rsidDel="00000000" w:rsidR="00000000" w:rsidRPr="00000000">
              <w:rPr>
                <w:rtl w:val="0"/>
              </w:rPr>
              <w:t xml:space="preserve">Дата ухвалення розпорядчого документа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Дата ухвалення розпорядчого документа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orderNumber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rPr/>
            </w:pPr>
            <w:r w:rsidDel="00000000" w:rsidR="00000000" w:rsidRPr="00000000">
              <w:rPr>
                <w:rtl w:val="0"/>
              </w:rPr>
              <w:t xml:space="preserve">Номер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rPr/>
            </w:pPr>
            <w:r w:rsidDel="00000000" w:rsidR="00000000" w:rsidRPr="00000000">
              <w:rPr>
                <w:rtl w:val="0"/>
              </w:rPr>
              <w:t xml:space="preserve">Номер розпорядчого документа. Наприклад: 1234-р.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publisher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rPr/>
            </w:pPr>
            <w:r w:rsidDel="00000000" w:rsidR="00000000" w:rsidRPr="00000000">
              <w:rPr>
                <w:rtl w:val="0"/>
              </w:rPr>
              <w:t xml:space="preserve">Назва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Повна назва органу, що затвердив розпорядчий документ. Наприклад: Фінансове управління Луцької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rPr/>
            </w:pPr>
            <w:r w:rsidDel="00000000" w:rsidR="00000000" w:rsidRPr="00000000">
              <w:rPr>
                <w:rtl w:val="0"/>
              </w:rPr>
              <w:t xml:space="preserve">Ідентифікатор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sz w:val="23"/>
                <w:szCs w:val="23"/>
                <w:rtl w:val="0"/>
              </w:rPr>
              <w:t xml:space="preserve">Код ЄДРПОУ органу, що затвердив розпорядчий документ. Наприклад: 01234567.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Істина (true)</w:t>
            </w:r>
          </w:p>
        </w:tc>
      </w:tr>
    </w:tbl>
    <w:p w:rsidR="00000000" w:rsidDel="00000000" w:rsidP="00000000" w:rsidRDefault="00000000" w:rsidRPr="00000000" w14:paraId="00000076">
      <w:pPr>
        <w:pStyle w:val="Heading1"/>
        <w:rPr/>
      </w:pPr>
      <w:bookmarkStart w:colFirst="0" w:colLast="0" w:name="_yz0viewdg8r4" w:id="4"/>
      <w:bookmarkEnd w:id="4"/>
      <w:r w:rsidDel="00000000" w:rsidR="00000000" w:rsidRPr="00000000">
        <w:rPr>
          <w:rtl w:val="0"/>
        </w:rPr>
        <w:t xml:space="preserve">4. Оформлення паспортів наборів та ресурсів</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78">
      <w:pPr>
        <w:spacing w:after="200" w:lineRule="auto"/>
        <w:rPr/>
      </w:pPr>
      <w:r w:rsidDel="00000000" w:rsidR="00000000" w:rsidRPr="00000000">
        <w:rPr>
          <w:rtl w:val="0"/>
        </w:rPr>
      </w:r>
    </w:p>
    <w:p w:rsidR="00000000" w:rsidDel="00000000" w:rsidP="00000000" w:rsidRDefault="00000000" w:rsidRPr="00000000" w14:paraId="00000079">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7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B">
            <w:pPr>
              <w:widowControl w:val="0"/>
              <w:rPr>
                <w:b w:val="1"/>
              </w:rPr>
            </w:pPr>
            <w:r w:rsidDel="00000000" w:rsidR="00000000" w:rsidRPr="00000000">
              <w:rPr>
                <w:b w:val="1"/>
                <w:rtl w:val="0"/>
              </w:rPr>
              <w:t xml:space="preserve">Приклад заповнення</w:t>
            </w:r>
          </w:p>
        </w:tc>
      </w:tr>
      <w:tr>
        <w:trPr>
          <w:trHeight w:val="180" w:hRule="atLeast"/>
        </w:trPr>
        <w:tc>
          <w:tcPr/>
          <w:p w:rsidR="00000000" w:rsidDel="00000000" w:rsidP="00000000" w:rsidRDefault="00000000" w:rsidRPr="00000000" w14:paraId="0000007C">
            <w:pPr>
              <w:rPr/>
            </w:pPr>
            <w:r w:rsidDel="00000000" w:rsidR="00000000" w:rsidRPr="00000000">
              <w:rPr>
                <w:rtl w:val="0"/>
              </w:rPr>
              <w:t xml:space="preserve">Назва набору</w:t>
            </w:r>
          </w:p>
        </w:tc>
        <w:tc>
          <w:tcPr/>
          <w:p w:rsidR="00000000" w:rsidDel="00000000" w:rsidP="00000000" w:rsidRDefault="00000000" w:rsidRPr="00000000" w14:paraId="0000007D">
            <w:pPr>
              <w:widowControl w:val="0"/>
              <w:rPr/>
            </w:pPr>
            <w:r w:rsidDel="00000000" w:rsidR="00000000" w:rsidRPr="00000000">
              <w:rPr>
                <w:rtl w:val="0"/>
              </w:rPr>
              <w:t xml:space="preserve">Перелік бюджетних програм Дрогобицької міської ради, у тому числі посилання на оприлюднені ресурси в Інтернеті</w:t>
            </w:r>
          </w:p>
        </w:tc>
      </w:tr>
      <w:tr>
        <w:trPr>
          <w:trHeight w:val="440" w:hRule="atLeast"/>
        </w:trPr>
        <w:tc>
          <w:tcPr/>
          <w:p w:rsidR="00000000" w:rsidDel="00000000" w:rsidP="00000000" w:rsidRDefault="00000000" w:rsidRPr="00000000" w14:paraId="0000007E">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7F">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80">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81">
            <w:pPr>
              <w:rPr/>
            </w:pPr>
            <w:r w:rsidDel="00000000" w:rsidR="00000000" w:rsidRPr="00000000">
              <w:rPr>
                <w:rtl w:val="0"/>
              </w:rPr>
              <w:t xml:space="preserve">Відразу після внесення змін</w:t>
            </w:r>
          </w:p>
        </w:tc>
      </w:tr>
      <w:tr>
        <w:trPr>
          <w:trHeight w:val="120" w:hRule="atLeast"/>
        </w:trPr>
        <w:tc>
          <w:tcPr/>
          <w:p w:rsidR="00000000" w:rsidDel="00000000" w:rsidP="00000000" w:rsidRDefault="00000000" w:rsidRPr="00000000" w14:paraId="00000082">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83">
            <w:pPr>
              <w:widowControl w:val="0"/>
              <w:rPr/>
            </w:pPr>
            <w:r w:rsidDel="00000000" w:rsidR="00000000" w:rsidRPr="00000000">
              <w:rPr>
                <w:rtl w:val="0"/>
              </w:rPr>
              <w:t xml:space="preserve">Набір містить перелік бюджетних програм Дрогобицької міської ради, у тому числі посилання на оприлюднені </w:t>
            </w:r>
          </w:p>
          <w:p w:rsidR="00000000" w:rsidDel="00000000" w:rsidP="00000000" w:rsidRDefault="00000000" w:rsidRPr="00000000" w14:paraId="00000084">
            <w:pPr>
              <w:widowControl w:val="0"/>
              <w:rPr/>
            </w:pPr>
            <w:r w:rsidDel="00000000" w:rsidR="00000000" w:rsidRPr="00000000">
              <w:rPr>
                <w:rtl w:val="0"/>
              </w:rPr>
              <w:t xml:space="preserve">паспорти та звіти про виконання паспортів бюджетних програм в мережі Інтернет. Кожен ресурс в наборі — перелік паспортів бюджетних програм за окремий бюджетний період.</w:t>
            </w:r>
          </w:p>
        </w:tc>
      </w:tr>
      <w:tr>
        <w:trPr>
          <w:trHeight w:val="180" w:hRule="atLeast"/>
        </w:trPr>
        <w:tc>
          <w:tcPr/>
          <w:p w:rsidR="00000000" w:rsidDel="00000000" w:rsidP="00000000" w:rsidRDefault="00000000" w:rsidRPr="00000000" w14:paraId="00000085">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86">
            <w:pPr>
              <w:widowControl w:val="0"/>
              <w:rPr/>
            </w:pPr>
            <w:r w:rsidDel="00000000" w:rsidR="00000000" w:rsidRPr="00000000">
              <w:rPr>
                <w:rtl w:val="0"/>
              </w:rPr>
              <w:t xml:space="preserve">Бюджетний кодекс України, Наказ Мінфіну України від 26.08.2014 № 836, Наказ Мінфіну України від 20.09.2017 № 793, Наказ Мінфіну України від 03.08.2018 № 668</w:t>
            </w:r>
            <w:r w:rsidDel="00000000" w:rsidR="00000000" w:rsidRPr="00000000">
              <w:rPr>
                <w:rtl w:val="0"/>
              </w:rPr>
            </w:r>
          </w:p>
        </w:tc>
      </w:tr>
      <w:tr>
        <w:trPr>
          <w:trHeight w:val="240" w:hRule="atLeast"/>
        </w:trPr>
        <w:tc>
          <w:tcPr/>
          <w:p w:rsidR="00000000" w:rsidDel="00000000" w:rsidP="00000000" w:rsidRDefault="00000000" w:rsidRPr="00000000" w14:paraId="00000087">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88">
            <w:pPr>
              <w:widowControl w:val="0"/>
              <w:rPr/>
            </w:pPr>
            <w:r w:rsidDel="00000000" w:rsidR="00000000" w:rsidRPr="00000000">
              <w:rPr>
                <w:rtl w:val="0"/>
              </w:rPr>
              <w:t xml:space="preserve">бюджет, паспорт, звіт, видатки, асигнування, фінансування, бюджетна програма, місцевий бюджет</w:t>
            </w:r>
            <w:r w:rsidDel="00000000" w:rsidR="00000000" w:rsidRPr="00000000">
              <w:rPr>
                <w:rtl w:val="0"/>
              </w:rPr>
            </w:r>
          </w:p>
        </w:tc>
      </w:tr>
      <w:tr>
        <w:trPr>
          <w:trHeight w:val="460" w:hRule="atLeast"/>
        </w:trPr>
        <w:tc>
          <w:tcPr/>
          <w:p w:rsidR="00000000" w:rsidDel="00000000" w:rsidP="00000000" w:rsidRDefault="00000000" w:rsidRPr="00000000" w14:paraId="00000089">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8A">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8B">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8C">
            <w:pPr>
              <w:widowControl w:val="0"/>
              <w:rPr/>
            </w:pPr>
            <w:r w:rsidDel="00000000" w:rsidR="00000000" w:rsidRPr="00000000">
              <w:rPr>
                <w:rtl w:val="0"/>
              </w:rPr>
              <w:t xml:space="preserve">o.symonenko@example.gov.ua</w:t>
            </w:r>
          </w:p>
        </w:tc>
      </w:tr>
    </w:tbl>
    <w:p w:rsidR="00000000" w:rsidDel="00000000" w:rsidP="00000000" w:rsidRDefault="00000000" w:rsidRPr="00000000" w14:paraId="0000008D">
      <w:pPr>
        <w:spacing w:after="200" w:lineRule="auto"/>
        <w:jc w:val="center"/>
        <w:rPr>
          <w:b w:val="1"/>
        </w:rPr>
      </w:pPr>
      <w:r w:rsidDel="00000000" w:rsidR="00000000" w:rsidRPr="00000000">
        <w:rPr>
          <w:rtl w:val="0"/>
        </w:rPr>
      </w:r>
    </w:p>
    <w:p w:rsidR="00000000" w:rsidDel="00000000" w:rsidP="00000000" w:rsidRDefault="00000000" w:rsidRPr="00000000" w14:paraId="0000008E">
      <w:pPr>
        <w:spacing w:after="200" w:lineRule="auto"/>
        <w:jc w:val="center"/>
        <w:rPr>
          <w:b w:val="1"/>
        </w:rPr>
      </w:pPr>
      <w:r w:rsidDel="00000000" w:rsidR="00000000" w:rsidRPr="00000000">
        <w:rPr>
          <w:b w:val="1"/>
          <w:rtl w:val="0"/>
        </w:rPr>
        <w:t xml:space="preserve">Таблиця 3 — Приклад паспорта ресурсу Programs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8F">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90">
            <w:pPr>
              <w:widowControl w:val="0"/>
              <w:rPr>
                <w:b w:val="1"/>
              </w:rPr>
            </w:pPr>
            <w:r w:rsidDel="00000000" w:rsidR="00000000" w:rsidRPr="00000000">
              <w:rPr>
                <w:b w:val="1"/>
                <w:rtl w:val="0"/>
              </w:rPr>
              <w:t xml:space="preserve">Приклад заповнення</w:t>
            </w:r>
          </w:p>
        </w:tc>
      </w:tr>
      <w:tr>
        <w:trPr>
          <w:trHeight w:val="160" w:hRule="atLeast"/>
        </w:trPr>
        <w:tc>
          <w:tcPr/>
          <w:p w:rsidR="00000000" w:rsidDel="00000000" w:rsidP="00000000" w:rsidRDefault="00000000" w:rsidRPr="00000000" w14:paraId="00000091">
            <w:pPr>
              <w:rPr/>
            </w:pPr>
            <w:r w:rsidDel="00000000" w:rsidR="00000000" w:rsidRPr="00000000">
              <w:rPr>
                <w:rtl w:val="0"/>
              </w:rPr>
              <w:t xml:space="preserve">Назва ресурсу</w:t>
            </w:r>
          </w:p>
        </w:tc>
        <w:tc>
          <w:tcPr/>
          <w:p w:rsidR="00000000" w:rsidDel="00000000" w:rsidP="00000000" w:rsidRDefault="00000000" w:rsidRPr="00000000" w14:paraId="00000092">
            <w:pPr>
              <w:rPr/>
            </w:pPr>
            <w:r w:rsidDel="00000000" w:rsidR="00000000" w:rsidRPr="00000000">
              <w:rPr>
                <w:rtl w:val="0"/>
              </w:rPr>
              <w:t xml:space="preserve">Programs-2019.xlsx</w:t>
            </w:r>
          </w:p>
        </w:tc>
      </w:tr>
      <w:tr>
        <w:trPr>
          <w:trHeight w:val="240" w:hRule="atLeast"/>
        </w:trPr>
        <w:tc>
          <w:tcPr/>
          <w:p w:rsidR="00000000" w:rsidDel="00000000" w:rsidP="00000000" w:rsidRDefault="00000000" w:rsidRPr="00000000" w14:paraId="00000093">
            <w:pPr>
              <w:rPr/>
            </w:pPr>
            <w:r w:rsidDel="00000000" w:rsidR="00000000" w:rsidRPr="00000000">
              <w:rPr>
                <w:rtl w:val="0"/>
              </w:rPr>
              <w:t xml:space="preserve">Опис</w:t>
            </w:r>
          </w:p>
        </w:tc>
        <w:tc>
          <w:tcPr/>
          <w:p w:rsidR="00000000" w:rsidDel="00000000" w:rsidP="00000000" w:rsidRDefault="00000000" w:rsidRPr="00000000" w14:paraId="00000094">
            <w:pPr>
              <w:widowControl w:val="0"/>
              <w:rPr/>
            </w:pPr>
            <w:r w:rsidDel="00000000" w:rsidR="00000000" w:rsidRPr="00000000">
              <w:rPr>
                <w:rtl w:val="0"/>
              </w:rPr>
              <w:t xml:space="preserve">Таблиця містить дані про бюджетні програми, що реалізуються в 2019 році. Зокрема, код, найменування, відповідального виконавця, розпорядчий документ, яким затверджений паспорт бюджетної програми, а також посилання на оприлюднені паспорти та звіти про виконання паспортів бюджетних програм у мережі Інтернет.</w:t>
            </w:r>
          </w:p>
        </w:tc>
      </w:tr>
      <w:tr>
        <w:trPr>
          <w:trHeight w:val="160" w:hRule="atLeast"/>
        </w:trPr>
        <w:tc>
          <w:tcPr/>
          <w:p w:rsidR="00000000" w:rsidDel="00000000" w:rsidP="00000000" w:rsidRDefault="00000000" w:rsidRPr="00000000" w14:paraId="00000095">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96">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97">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budget/budget-programs/Example.xlsx" TargetMode="External"/><Relationship Id="rId22" Type="http://schemas.openxmlformats.org/officeDocument/2006/relationships/hyperlink" Target="https://github.com/tapas-opendata/decreet-835-mun/raw/master/budget/budget-programs/Structure.xlsx" TargetMode="External"/><Relationship Id="rId21" Type="http://schemas.openxmlformats.org/officeDocument/2006/relationships/hyperlink" Target="https://github.com/tapas-opendata/decreet-835-mun/raw/master/budget/budget-programs/Example.xlsx" TargetMode="External"/><Relationship Id="rId24" Type="http://schemas.openxmlformats.org/officeDocument/2006/relationships/hyperlink" Target="https://raw.githubusercontent.com/tapas-opendata/decreet-835-mun/master/budget/budget-programs/Structure.json" TargetMode="External"/><Relationship Id="rId23" Type="http://schemas.openxmlformats.org/officeDocument/2006/relationships/hyperlink" Target="https://raw.githubusercontent.com/tapas-opendata/decreet-835-mun/master/budget/budget-programs/Structur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953-18#n15" TargetMode="External"/><Relationship Id="rId25" Type="http://schemas.openxmlformats.org/officeDocument/2006/relationships/hyperlink" Target="https://docs.ckan.org/en/latest/maintaining/datastore.html" TargetMode="External"/><Relationship Id="rId5" Type="http://schemas.openxmlformats.org/officeDocument/2006/relationships/styles" Target="styles.xml"/><Relationship Id="rId6" Type="http://schemas.openxmlformats.org/officeDocument/2006/relationships/hyperlink" Target="https://zakon.rada.gov.ua/laws/show/2456-17" TargetMode="External"/><Relationship Id="rId7" Type="http://schemas.openxmlformats.org/officeDocument/2006/relationships/hyperlink" Target="https://zakon.rada.gov.ua/laws/show/z1103-14" TargetMode="External"/><Relationship Id="rId8" Type="http://schemas.openxmlformats.org/officeDocument/2006/relationships/hyperlink" Target="https://zakon.rada.gov.ua/rada/show/v0793201-17" TargetMode="External"/><Relationship Id="rId11" Type="http://schemas.openxmlformats.org/officeDocument/2006/relationships/hyperlink" Target="https://zakon.rada.gov.ua/laws/show/z1706-12" TargetMode="External"/><Relationship Id="rId10" Type="http://schemas.openxmlformats.org/officeDocument/2006/relationships/hyperlink" Target="https://zakon.rada.gov.ua/rada/show/v0793201-17" TargetMode="External"/><Relationship Id="rId13" Type="http://schemas.openxmlformats.org/officeDocument/2006/relationships/hyperlink" Target="https://zakon.rada.gov.ua/laws/show/z0956-17" TargetMode="External"/><Relationship Id="rId12" Type="http://schemas.openxmlformats.org/officeDocument/2006/relationships/hyperlink" Target="https://zakon.rada.gov.ua/laws/show/z0685-18#n9" TargetMode="External"/><Relationship Id="rId15" Type="http://schemas.openxmlformats.org/officeDocument/2006/relationships/hyperlink" Target="https://zakon.rada.gov.ua/laws/show/z0403-10" TargetMode="External"/><Relationship Id="rId14" Type="http://schemas.openxmlformats.org/officeDocument/2006/relationships/hyperlink" Target="https://zakon.rada.gov.ua/laws/show/z1609-16" TargetMode="External"/><Relationship Id="rId17" Type="http://schemas.openxmlformats.org/officeDocument/2006/relationships/hyperlink" Target="https://zakon.rada.gov.ua/laws/show/z1610-16" TargetMode="External"/><Relationship Id="rId16" Type="http://schemas.openxmlformats.org/officeDocument/2006/relationships/hyperlink" Target="https://zakon3.rada.gov.ua/laws/show/z0952-10" TargetMode="External"/><Relationship Id="rId19" Type="http://schemas.openxmlformats.org/officeDocument/2006/relationships/hyperlink" Target="https://github.com/tapas-opendata/decreet-835-mun/raw/master/budget/budget-programs/Programs.xlsx" TargetMode="External"/><Relationship Id="rId18" Type="http://schemas.openxmlformats.org/officeDocument/2006/relationships/hyperlink" Target="https://zakon.rada.gov.ua/laws/show/z110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