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ii2yfeksvj6v" w:id="0"/>
      <w:bookmarkEnd w:id="0"/>
      <w:r w:rsidDel="00000000" w:rsidR="00000000" w:rsidRPr="00000000">
        <w:rPr>
          <w:rtl w:val="0"/>
        </w:rPr>
        <w:t xml:space="preserve">Надходження і використання благодійної допомоги</w:t>
      </w:r>
    </w:p>
    <w:p w:rsidR="00000000" w:rsidDel="00000000" w:rsidP="00000000" w:rsidRDefault="00000000" w:rsidRPr="00000000" w14:paraId="00000002">
      <w:pPr>
        <w:pStyle w:val="Heading1"/>
        <w:rPr/>
      </w:pPr>
      <w:bookmarkStart w:colFirst="0" w:colLast="0" w:name="_qy31hxc6hzg9"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Характеристика</w:t>
            </w:r>
          </w:p>
        </w:tc>
      </w:tr>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hyperlink r:id="rId6">
              <w:r w:rsidDel="00000000" w:rsidR="00000000" w:rsidRPr="00000000">
                <w:rPr>
                  <w:color w:val="1155cc"/>
                  <w:u w:val="single"/>
                  <w:rtl w:val="0"/>
                </w:rPr>
                <w:t xml:space="preserve">Бюджетний кодекс України</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благодійну діяльність та благодійні організації» від 05.07.2012 № 5073-VI</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освіту» від 05.09.2017 № 2145-VIII</w:t>
              </w:r>
            </w:hyperlink>
            <w:r w:rsidDel="00000000" w:rsidR="00000000" w:rsidRPr="00000000">
              <w:rPr>
                <w:rtl w:val="0"/>
              </w:rPr>
              <w:t xml:space="preserve">, </w:t>
            </w:r>
            <w:hyperlink r:id="rId9">
              <w:r w:rsidDel="00000000" w:rsidR="00000000" w:rsidRPr="00000000">
                <w:rPr>
                  <w:color w:val="1155cc"/>
                  <w:u w:val="single"/>
                  <w:rtl w:val="0"/>
                </w:rPr>
                <w:t xml:space="preserve">Наказ МОЗ «Про здійснення заходів з контролю за надходженням і використанням благодійних пожертв у закладах охорони здоров'я» від 25.07.2017 N 848</w:t>
              </w:r>
            </w:hyperlink>
            <w:r w:rsidDel="00000000" w:rsidR="00000000" w:rsidRPr="00000000">
              <w:rPr>
                <w:rtl w:val="0"/>
              </w:rPr>
              <w:t xml:space="preserve">, </w:t>
            </w:r>
            <w:hyperlink r:id="rId10">
              <w:r w:rsidDel="00000000" w:rsidR="00000000" w:rsidRPr="00000000">
                <w:rPr>
                  <w:color w:val="1155cc"/>
                  <w:u w:val="single"/>
                  <w:rtl w:val="0"/>
                </w:rPr>
                <w:t xml:space="preserve">Постанова КМУ «Про затвердження Порядку розподілу товарів, отриманих як благодійна допомога, та контролю за цільовим розподілом благодійної допомоги у вигляді наданих послуг або виконаних  робіт» від 17.08.1998 № 1295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Комунальні заклади та установи здійснюють облік благодійної допомоги та оприлюднюють дані відповідно до профільних нормативно-правових актів.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Отримання благодійної допомоги</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Частота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Позапланово (протягом трьох робочих днів з моменту внесення змін) або не рідше, ніж щокварталу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Rule="auto"/>
        <w:rPr/>
      </w:pPr>
      <w:r w:rsidDel="00000000" w:rsidR="00000000" w:rsidRPr="00000000">
        <w:rPr>
          <w:rtl w:val="0"/>
        </w:rPr>
        <w:t xml:space="preserve">Комунальні заклади та установи здійснюють облік благодійної допомоги відповідно до </w:t>
      </w:r>
      <w:hyperlink r:id="rId11">
        <w:r w:rsidDel="00000000" w:rsidR="00000000" w:rsidRPr="00000000">
          <w:rPr>
            <w:color w:val="1155cc"/>
            <w:u w:val="single"/>
            <w:rtl w:val="0"/>
          </w:rPr>
          <w:t xml:space="preserve">Закону України «Про благодійну діяльність та благодійні організації» від 05.07.2012 № 5073-VI</w:t>
        </w:r>
      </w:hyperlink>
      <w:r w:rsidDel="00000000" w:rsidR="00000000" w:rsidRPr="00000000">
        <w:rPr>
          <w:rtl w:val="0"/>
        </w:rPr>
        <w:t xml:space="preserve">, </w:t>
      </w:r>
      <w:hyperlink r:id="rId12">
        <w:r w:rsidDel="00000000" w:rsidR="00000000" w:rsidRPr="00000000">
          <w:rPr>
            <w:color w:val="1155cc"/>
            <w:u w:val="single"/>
            <w:rtl w:val="0"/>
          </w:rPr>
          <w:t xml:space="preserve">Постанови КМУ від 17.08.1998 № 1295</w:t>
        </w:r>
      </w:hyperlink>
      <w:r w:rsidDel="00000000" w:rsidR="00000000" w:rsidRPr="00000000">
        <w:rPr>
          <w:rtl w:val="0"/>
        </w:rPr>
        <w:t xml:space="preserve"> та </w:t>
      </w:r>
      <w:hyperlink r:id="rId13">
        <w:r w:rsidDel="00000000" w:rsidR="00000000" w:rsidRPr="00000000">
          <w:rPr>
            <w:color w:val="1155cc"/>
            <w:u w:val="single"/>
            <w:rtl w:val="0"/>
          </w:rPr>
          <w:t xml:space="preserve">Постанови КМУ від 17.08.1998 № 1295</w:t>
        </w:r>
      </w:hyperlink>
      <w:r w:rsidDel="00000000" w:rsidR="00000000" w:rsidRPr="00000000">
        <w:rPr>
          <w:rtl w:val="0"/>
        </w:rPr>
        <w:t xml:space="preserve">. </w:t>
      </w:r>
      <w:r w:rsidDel="00000000" w:rsidR="00000000" w:rsidRPr="00000000">
        <w:rPr>
          <w:rtl w:val="0"/>
        </w:rPr>
        <w:t xml:space="preserve">Стаття 30 </w:t>
      </w:r>
      <w:hyperlink r:id="rId14">
        <w:r w:rsidDel="00000000" w:rsidR="00000000" w:rsidRPr="00000000">
          <w:rPr>
            <w:color w:val="1155cc"/>
            <w:u w:val="single"/>
            <w:rtl w:val="0"/>
          </w:rPr>
          <w:t xml:space="preserve">Закону України «Про освіту»</w:t>
        </w:r>
      </w:hyperlink>
      <w:r w:rsidDel="00000000" w:rsidR="00000000" w:rsidRPr="00000000">
        <w:rPr>
          <w:rtl w:val="0"/>
        </w:rPr>
        <w:t xml:space="preserve"> передбачає оприлюднення закладами освіти інформації про перелік товарів, робіт і послуг, отриманих, як благодійна допомога, із зазначенням їх вартості. Відповідно до </w:t>
      </w:r>
      <w:hyperlink r:id="rId15">
        <w:r w:rsidDel="00000000" w:rsidR="00000000" w:rsidRPr="00000000">
          <w:rPr>
            <w:color w:val="1155cc"/>
            <w:u w:val="single"/>
            <w:rtl w:val="0"/>
          </w:rPr>
          <w:t xml:space="preserve">Наказу МОЗ від 25.07.2017 № 848</w:t>
        </w:r>
      </w:hyperlink>
      <w:r w:rsidDel="00000000" w:rsidR="00000000" w:rsidRPr="00000000">
        <w:rPr>
          <w:rtl w:val="0"/>
        </w:rPr>
        <w:t xml:space="preserve"> заклади охорони здоров’я, що підпорядковуються МОЗ, державним адміністраціям, Міністерству охорони здоров'я Автономної Республіки Крим мають щоквартально публікувати відомості про </w:t>
      </w:r>
      <w:r w:rsidDel="00000000" w:rsidR="00000000" w:rsidRPr="00000000">
        <w:rPr>
          <w:rtl w:val="0"/>
        </w:rPr>
        <w:t xml:space="preserve">надходження і використання благодійних пожертв на інформаційних стендах і офіційних веб-сайтах.</w:t>
      </w:r>
    </w:p>
    <w:p w:rsidR="00000000" w:rsidDel="00000000" w:rsidP="00000000" w:rsidRDefault="00000000" w:rsidRPr="00000000" w14:paraId="00000013">
      <w:pPr>
        <w:spacing w:after="200" w:lineRule="auto"/>
        <w:rPr/>
      </w:pPr>
      <w:r w:rsidDel="00000000" w:rsidR="00000000" w:rsidRPr="00000000">
        <w:rPr>
          <w:rtl w:val="0"/>
        </w:rPr>
        <w:t xml:space="preserve">Узагальнені дані про отримані благодійні внески, гранти та дарунки оприлюднюються на </w:t>
      </w:r>
      <w:hyperlink r:id="rId16">
        <w:r w:rsidDel="00000000" w:rsidR="00000000" w:rsidRPr="00000000">
          <w:rPr>
            <w:color w:val="1155cc"/>
            <w:u w:val="single"/>
            <w:rtl w:val="0"/>
          </w:rPr>
          <w:t xml:space="preserve">Єдиному веб-порталі використання публічних коштів</w:t>
        </w:r>
      </w:hyperlink>
      <w:r w:rsidDel="00000000" w:rsidR="00000000" w:rsidRPr="00000000">
        <w:rPr>
          <w:rtl w:val="0"/>
        </w:rPr>
        <w:t xml:space="preserve"> відповідно до форм № 4 - 1д, № 4 - 1м, </w:t>
      </w:r>
      <w:r w:rsidDel="00000000" w:rsidR="00000000" w:rsidRPr="00000000">
        <w:rPr>
          <w:rtl w:val="0"/>
        </w:rPr>
        <w:t xml:space="preserve">затверджених наказом </w:t>
      </w:r>
      <w:hyperlink r:id="rId17">
        <w:r w:rsidDel="00000000" w:rsidR="00000000" w:rsidRPr="00000000">
          <w:rPr>
            <w:color w:val="1155cc"/>
            <w:u w:val="single"/>
            <w:rtl w:val="0"/>
          </w:rPr>
          <w:t xml:space="preserve">Мінфіну України від 22.08.2017 № 712</w:t>
        </w:r>
      </w:hyperlink>
      <w:r w:rsidDel="00000000" w:rsidR="00000000" w:rsidRPr="00000000">
        <w:rPr>
          <w:rtl w:val="0"/>
        </w:rPr>
        <w:t xml:space="preserve">.</w:t>
      </w:r>
    </w:p>
    <w:p w:rsidR="00000000" w:rsidDel="00000000" w:rsidP="00000000" w:rsidRDefault="00000000" w:rsidRPr="00000000" w14:paraId="00000014">
      <w:pPr>
        <w:spacing w:after="200" w:lineRule="auto"/>
        <w:rPr/>
      </w:pPr>
      <w:r w:rsidDel="00000000" w:rsidR="00000000" w:rsidRPr="00000000">
        <w:rPr>
          <w:rtl w:val="0"/>
        </w:rPr>
        <w:t xml:space="preserve">Органи місцевого самоврядування можуть приймати власну нормативно-правову базу, що регулює питання оприлюднення даних про надходження і використання благодійної допомоги, наприклад, </w:t>
      </w:r>
      <w:hyperlink r:id="rId18">
        <w:r w:rsidDel="00000000" w:rsidR="00000000" w:rsidRPr="00000000">
          <w:rPr>
            <w:color w:val="1155cc"/>
            <w:u w:val="single"/>
            <w:rtl w:val="0"/>
          </w:rPr>
          <w:t xml:space="preserve">Рішення Виконавчого комітету Івано-Франківської міської ради від 01.03.2018 р. № 215</w:t>
        </w:r>
      </w:hyperlink>
      <w:r w:rsidDel="00000000" w:rsidR="00000000" w:rsidRPr="00000000">
        <w:rPr>
          <w:rtl w:val="0"/>
        </w:rPr>
        <w:t xml:space="preserve">, </w:t>
      </w:r>
      <w:hyperlink r:id="rId19">
        <w:r w:rsidDel="00000000" w:rsidR="00000000" w:rsidRPr="00000000">
          <w:rPr>
            <w:color w:val="1155cc"/>
            <w:u w:val="single"/>
            <w:rtl w:val="0"/>
          </w:rPr>
          <w:t xml:space="preserve">Рішення Херсонської міської ради від 24.06.2016 р. №226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pStyle w:val="Heading1"/>
        <w:rPr/>
      </w:pPr>
      <w:bookmarkStart w:colFirst="0" w:colLast="0" w:name="_jwiu78eu8mtd" w:id="3"/>
      <w:bookmarkEnd w:id="3"/>
      <w:r w:rsidDel="00000000" w:rsidR="00000000" w:rsidRPr="00000000">
        <w:rPr>
          <w:rtl w:val="0"/>
        </w:rPr>
        <w:t xml:space="preserve">3. Підготовка даних та структура набору</w:t>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Donations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Благодійна допомога (грошові кошти, товари, послуги, роботи тощо), що була надана благодійником або групою благодійників одноразово</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Розміщення нової версії ресурсу, можливе створення нового ресурсу щомісяця, кварталу, 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hyperlink r:id="rId20">
              <w:r w:rsidDel="00000000" w:rsidR="00000000" w:rsidRPr="00000000">
                <w:rPr>
                  <w:color w:val="1155cc"/>
                  <w:u w:val="single"/>
                  <w:rtl w:val="0"/>
                </w:rPr>
                <w:t xml:space="preserve">Donations.xlsx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hyperlink r:id="rId21">
              <w:r w:rsidDel="00000000" w:rsidR="00000000" w:rsidRPr="00000000">
                <w:rPr>
                  <w:color w:val="1155cc"/>
                  <w:u w:val="single"/>
                  <w:rtl w:val="0"/>
                </w:rPr>
                <w:t xml:space="preserve">Example</w:t>
              </w:r>
            </w:hyperlink>
            <w:hyperlink r:id="rId22">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hyperlink r:id="rId23">
              <w:r w:rsidDel="00000000" w:rsidR="00000000" w:rsidRPr="00000000">
                <w:rPr>
                  <w:color w:val="1155cc"/>
                  <w:u w:val="single"/>
                  <w:rtl w:val="0"/>
                </w:rPr>
                <w:t xml:space="preserve">Structure.xlsx</w:t>
              </w:r>
            </w:hyperlink>
            <w:r w:rsidDel="00000000" w:rsidR="00000000" w:rsidRPr="00000000">
              <w:rPr>
                <w:rtl w:val="0"/>
              </w:rPr>
              <w:t xml:space="preserve">, </w:t>
            </w:r>
            <w:hyperlink r:id="rId24">
              <w:r w:rsidDel="00000000" w:rsidR="00000000" w:rsidRPr="00000000">
                <w:rPr>
                  <w:color w:val="1155cc"/>
                  <w:u w:val="single"/>
                  <w:rtl w:val="0"/>
                </w:rPr>
                <w:t xml:space="preserve">Structure.csv</w:t>
              </w:r>
            </w:hyperlink>
            <w:r w:rsidDel="00000000" w:rsidR="00000000" w:rsidRPr="00000000">
              <w:rPr>
                <w:rtl w:val="0"/>
              </w:rPr>
              <w:t xml:space="preserve">, </w:t>
            </w:r>
            <w:hyperlink r:id="rId25">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6">
      <w:pPr>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6">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8">
      <w:pPr>
        <w:spacing w:after="200" w:lineRule="auto"/>
        <w:jc w:val="center"/>
        <w:rPr>
          <w:b w:val="1"/>
        </w:rPr>
      </w:pPr>
      <w:r w:rsidDel="00000000" w:rsidR="00000000" w:rsidRPr="00000000">
        <w:rPr>
          <w:rtl w:val="0"/>
        </w:rPr>
      </w:r>
    </w:p>
    <w:p w:rsidR="00000000" w:rsidDel="00000000" w:rsidP="00000000" w:rsidRDefault="00000000" w:rsidRPr="00000000" w14:paraId="00000029">
      <w:pPr>
        <w:spacing w:after="200" w:lineRule="auto"/>
        <w:jc w:val="center"/>
        <w:rPr>
          <w:b w:val="1"/>
        </w:rPr>
      </w:pPr>
      <w:r w:rsidDel="00000000" w:rsidR="00000000" w:rsidRPr="00000000">
        <w:rPr>
          <w:b w:val="1"/>
          <w:rtl w:val="0"/>
        </w:rPr>
        <w:t xml:space="preserve">Таблиця </w:t>
      </w:r>
      <w:r w:rsidDel="00000000" w:rsidR="00000000" w:rsidRPr="00000000">
        <w:rPr>
          <w:b w:val="1"/>
          <w:rtl w:val="0"/>
        </w:rPr>
        <w:t xml:space="preserve">1</w:t>
      </w:r>
      <w:r w:rsidDel="00000000" w:rsidR="00000000" w:rsidRPr="00000000">
        <w:rPr>
          <w:b w:val="1"/>
          <w:rtl w:val="0"/>
        </w:rPr>
        <w:t xml:space="preserve"> — Структура таблиці (ресурсу) Donations</w:t>
      </w:r>
    </w:p>
    <w:tbl>
      <w:tblPr>
        <w:tblStyle w:val="Table4"/>
        <w:tblW w:w="9015.0" w:type="dxa"/>
        <w:jc w:val="left"/>
        <w:tblInd w:w="99.7795275590551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425"/>
        <w:gridCol w:w="3405"/>
        <w:gridCol w:w="1275"/>
        <w:gridCol w:w="1515"/>
        <w:tblGridChange w:id="0">
          <w:tblGrid>
            <w:gridCol w:w="1395"/>
            <w:gridCol w:w="1425"/>
            <w:gridCol w:w="3405"/>
            <w:gridCol w:w="1275"/>
            <w:gridCol w:w="1515"/>
          </w:tblGrid>
        </w:tblGridChange>
      </w:tblGrid>
      <w:tr>
        <w:trPr>
          <w:trHeight w:val="42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rPr>
                <w:b w:val="1"/>
              </w:rPr>
            </w:pPr>
            <w:r w:rsidDel="00000000" w:rsidR="00000000" w:rsidRPr="00000000">
              <w:rPr>
                <w:b w:val="1"/>
                <w:rtl w:val="0"/>
              </w:rPr>
              <w:t xml:space="preserve">Вимога заповнення (required)</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rPr/>
            </w:pP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rPr/>
            </w:pPr>
            <w:r w:rsidDel="00000000" w:rsidR="00000000" w:rsidRPr="00000000">
              <w:rPr>
                <w:rtl w:val="0"/>
              </w:rPr>
              <w:t xml:space="preserve">Ідентифікатор</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rPr/>
            </w:pPr>
            <w:r w:rsidDel="00000000" w:rsidR="00000000" w:rsidRPr="00000000">
              <w:rPr>
                <w:rtl w:val="0"/>
              </w:rPr>
              <w:t xml:space="preserve">Порядковий номер або будь-який інший ідентифікатор благодійної  допомоги. Наприклад: 12.</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rPr/>
            </w:pPr>
            <w:r w:rsidDel="00000000" w:rsidR="00000000" w:rsidRPr="00000000">
              <w:rPr>
                <w:rtl w:val="0"/>
              </w:rPr>
              <w:t xml:space="preserve">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rPr/>
            </w:pPr>
            <w:r w:rsidDel="00000000" w:rsidR="00000000" w:rsidRPr="00000000">
              <w:rPr>
                <w:rtl w:val="0"/>
              </w:rPr>
              <w:t xml:space="preserve">Дата отримання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rPr/>
            </w:pPr>
            <w:r w:rsidDel="00000000" w:rsidR="00000000" w:rsidRPr="00000000">
              <w:rPr>
                <w:rtl w:val="0"/>
              </w:rPr>
              <w:t xml:space="preserve">Дата отримання благодійної  допомоги у форматі ISO 8601 (рррр-мм-дд). Наприклад: 2018-09-26.</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rtl w:val="0"/>
              </w:rPr>
              <w:t xml:space="preserve">Дата (date)</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Істина (true)</w:t>
            </w:r>
          </w:p>
        </w:tc>
      </w:tr>
      <w:tr>
        <w:trPr>
          <w:trHeight w:val="4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Найменування </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Якщо пожертва була надана у грошовій формі, вказати Грошові кошти. Якщо у матеріальній — найменування товарів, послуг, робіт тощо. Наприклад: Ноутбук Apple </w:t>
            </w:r>
            <w:r w:rsidDel="00000000" w:rsidR="00000000" w:rsidRPr="00000000">
              <w:rPr>
                <w:rtl w:val="0"/>
              </w:rPr>
              <w:t xml:space="preserve">A1932</w:t>
            </w:r>
            <w:r w:rsidDel="00000000" w:rsidR="00000000" w:rsidRPr="00000000">
              <w:rPr>
                <w:rtl w:val="0"/>
              </w:rPr>
              <w:t xml:space="preserve"> MacBook Air 13".</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rPr/>
            </w:pPr>
            <w:r w:rsidDel="00000000" w:rsidR="00000000" w:rsidRPr="00000000">
              <w:rPr>
                <w:rtl w:val="0"/>
              </w:rPr>
              <w:t xml:space="preserve">Істина (true)</w:t>
            </w:r>
          </w:p>
        </w:tc>
      </w:tr>
      <w:tr>
        <w:trPr>
          <w:trHeight w:val="48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rPr/>
            </w:pPr>
            <w:r w:rsidDel="00000000" w:rsidR="00000000" w:rsidRPr="00000000">
              <w:rPr>
                <w:rtl w:val="0"/>
              </w:rPr>
              <w:t xml:space="preserve">purpose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Призначення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rPr/>
            </w:pPr>
            <w:r w:rsidDel="00000000" w:rsidR="00000000" w:rsidRPr="00000000">
              <w:rPr>
                <w:rtl w:val="0"/>
              </w:rPr>
              <w:t xml:space="preserve">Призначення благодійної допомоги, сформульоване у довільній формі. Наприклад: проведення культурно-розважальних заходів.</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widowControl w:val="0"/>
              <w:rPr/>
            </w:pPr>
            <w:r w:rsidDel="00000000" w:rsidR="00000000" w:rsidRPr="00000000">
              <w:rPr>
                <w:rtl w:val="0"/>
              </w:rPr>
              <w:t xml:space="preserve">quantity</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6">
            <w:pPr>
              <w:widowControl w:val="0"/>
              <w:rPr/>
            </w:pPr>
            <w:r w:rsidDel="00000000" w:rsidR="00000000" w:rsidRPr="00000000">
              <w:rPr>
                <w:rtl w:val="0"/>
              </w:rPr>
              <w:t xml:space="preserve">Кількість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7">
            <w:pPr>
              <w:widowControl w:val="0"/>
              <w:rPr/>
            </w:pPr>
            <w:r w:rsidDel="00000000" w:rsidR="00000000" w:rsidRPr="00000000">
              <w:rPr>
                <w:rtl w:val="0"/>
              </w:rPr>
              <w:t xml:space="preserve">Якщо пожертва була надана у матеріальній формі, вказати кількість одиниць товарів, послуг, робіт тощо (лише число). Наприклад: 1. У випадку грошових коштів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rPr/>
            </w:pPr>
            <w:r w:rsidDel="00000000" w:rsidR="00000000" w:rsidRPr="00000000">
              <w:rPr>
                <w:rtl w:val="0"/>
              </w:rPr>
              <w:t xml:space="preserve">unitName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rPr/>
            </w:pPr>
            <w:r w:rsidDel="00000000" w:rsidR="00000000" w:rsidRPr="00000000">
              <w:rPr>
                <w:rtl w:val="0"/>
              </w:rPr>
              <w:t xml:space="preserve">Назва одиниці виміру</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rtl w:val="0"/>
              </w:rPr>
              <w:t xml:space="preserve">Якщо пожертва була надана у матеріальній формі, вказати одиницю виміру, наприклад, штука (шт.), квадратний метр (кв. м.), літр (л.) тощо. Наприклад: шт. У випадку грошових коштів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widowControl w:val="0"/>
              <w:rPr/>
            </w:pPr>
            <w:r w:rsidDel="00000000" w:rsidR="00000000" w:rsidRPr="00000000">
              <w:rPr>
                <w:rtl w:val="0"/>
              </w:rPr>
              <w:t xml:space="preserve">valueAmount</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widowControl w:val="0"/>
              <w:rPr/>
            </w:pPr>
            <w:r w:rsidDel="00000000" w:rsidR="00000000" w:rsidRPr="00000000">
              <w:rPr>
                <w:rtl w:val="0"/>
              </w:rPr>
              <w:t xml:space="preserve">Вартість</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1">
            <w:pPr>
              <w:widowControl w:val="0"/>
              <w:rPr/>
            </w:pPr>
            <w:r w:rsidDel="00000000" w:rsidR="00000000" w:rsidRPr="00000000">
              <w:rPr>
                <w:rtl w:val="0"/>
              </w:rPr>
              <w:t xml:space="preserve">Сума грошових коштів або вартість товарів, послуг, робіт тощо у гривнях (лише число). Наприклад: 2000.00.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2">
            <w:pPr>
              <w:widowControl w:val="0"/>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widowControl w:val="0"/>
              <w:rPr/>
            </w:pPr>
            <w:r w:rsidDel="00000000" w:rsidR="00000000" w:rsidRPr="00000000">
              <w:rPr>
                <w:rtl w:val="0"/>
              </w:rPr>
              <w:t xml:space="preserve">recipientI</w:t>
            </w:r>
            <w:r w:rsidDel="00000000" w:rsidR="00000000" w:rsidRPr="00000000">
              <w:rPr>
                <w:rtl w:val="0"/>
              </w:rPr>
              <w:t xml:space="preserve">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widowControl w:val="0"/>
              <w:rPr/>
            </w:pPr>
            <w:r w:rsidDel="00000000" w:rsidR="00000000" w:rsidRPr="00000000">
              <w:rPr>
                <w:rtl w:val="0"/>
              </w:rPr>
              <w:t xml:space="preserve">Ідентифікатор набувача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6">
            <w:pPr>
              <w:widowControl w:val="0"/>
              <w:rPr/>
            </w:pPr>
            <w:r w:rsidDel="00000000" w:rsidR="00000000" w:rsidRPr="00000000">
              <w:rPr>
                <w:rtl w:val="0"/>
              </w:rPr>
              <w:t xml:space="preserve">Код ЄДРПОУ юридичної особи, яка є набувачем благодійної допомоги. Наприклад: 01234567.</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7">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8">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widowControl w:val="0"/>
              <w:rPr/>
            </w:pPr>
            <w:r w:rsidDel="00000000" w:rsidR="00000000" w:rsidRPr="00000000">
              <w:rPr>
                <w:rtl w:val="0"/>
              </w:rPr>
              <w:t xml:space="preserve">recipientName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widowControl w:val="0"/>
              <w:rPr/>
            </w:pPr>
            <w:r w:rsidDel="00000000" w:rsidR="00000000" w:rsidRPr="00000000">
              <w:rPr>
                <w:rtl w:val="0"/>
              </w:rPr>
              <w:t xml:space="preserve">Назва набувача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B">
            <w:pPr>
              <w:widowControl w:val="0"/>
              <w:rPr/>
            </w:pPr>
            <w:r w:rsidDel="00000000" w:rsidR="00000000" w:rsidRPr="00000000">
              <w:rPr>
                <w:rtl w:val="0"/>
              </w:rPr>
              <w:t xml:space="preserve">Повна назва юридичної особи, яка є набувачем  благодійної допомоги. Наприклад: Чернігівська загальноосвітня школа I-III ст. №2</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C">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widowControl w:val="0"/>
              <w:rPr/>
            </w:pPr>
            <w:r w:rsidDel="00000000" w:rsidR="00000000" w:rsidRPr="00000000">
              <w:rPr>
                <w:rtl w:val="0"/>
              </w:rPr>
              <w:t xml:space="preserve">donor</w:t>
            </w:r>
            <w:r w:rsidDel="00000000" w:rsidR="00000000" w:rsidRPr="00000000">
              <w:rPr>
                <w:rtl w:val="0"/>
              </w:rPr>
              <w:t xml:space="preserve">ID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widowControl w:val="0"/>
              <w:rPr/>
            </w:pPr>
            <w:r w:rsidDel="00000000" w:rsidR="00000000" w:rsidRPr="00000000">
              <w:rPr>
                <w:rtl w:val="0"/>
              </w:rPr>
              <w:t xml:space="preserve">Ідентифікатор благодійника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0">
            <w:pPr>
              <w:widowControl w:val="0"/>
              <w:rPr/>
            </w:pPr>
            <w:r w:rsidDel="00000000" w:rsidR="00000000" w:rsidRPr="00000000">
              <w:rPr>
                <w:rtl w:val="0"/>
              </w:rPr>
              <w:t xml:space="preserve">Код ЄДРПОУ юридичної особи, яка надає благодійну допомогу. Наприклад: 01234567. Якщо надавачів декілька, розділити значення комою. У випадку ФОП дані про РНОКПП знеособлюються.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1">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3">
            <w:pPr>
              <w:widowControl w:val="0"/>
              <w:rPr/>
            </w:pPr>
            <w:r w:rsidDel="00000000" w:rsidR="00000000" w:rsidRPr="00000000">
              <w:rPr>
                <w:rtl w:val="0"/>
              </w:rPr>
              <w:t xml:space="preserve">donorName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widowControl w:val="0"/>
              <w:rPr/>
            </w:pPr>
            <w:r w:rsidDel="00000000" w:rsidR="00000000" w:rsidRPr="00000000">
              <w:rPr>
                <w:rtl w:val="0"/>
              </w:rPr>
              <w:t xml:space="preserve">Назва або ім’я благодійника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5">
            <w:pPr>
              <w:widowControl w:val="0"/>
              <w:rPr/>
            </w:pPr>
            <w:r w:rsidDel="00000000" w:rsidR="00000000" w:rsidRPr="00000000">
              <w:rPr>
                <w:rtl w:val="0"/>
              </w:rPr>
              <w:t xml:space="preserve">Назва юридичної особи або прізвище, ім’я, по батькові фізичної особи, що є благодійником. Наприклад: Коваль Олександр Сергійович. Якщо надавачів декілька, розділити значення комою.</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6">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7">
            <w:pPr>
              <w:widowControl w:val="0"/>
              <w:rPr/>
            </w:pPr>
            <w:r w:rsidDel="00000000" w:rsidR="00000000" w:rsidRPr="00000000">
              <w:rPr>
                <w:rtl w:val="0"/>
              </w:rPr>
              <w:t xml:space="preserve">Істина (true)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8">
            <w:pPr>
              <w:widowControl w:val="0"/>
              <w:rPr/>
            </w:pPr>
            <w:r w:rsidDel="00000000" w:rsidR="00000000" w:rsidRPr="00000000">
              <w:rPr>
                <w:rtl w:val="0"/>
              </w:rPr>
              <w:t xml:space="preserve">act</w:t>
            </w:r>
            <w:r w:rsidDel="00000000" w:rsidR="00000000" w:rsidRPr="00000000">
              <w:rPr>
                <w:rtl w:val="0"/>
              </w:rPr>
              <w:t xml:space="preserve">ID</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9">
            <w:pPr>
              <w:widowControl w:val="0"/>
              <w:rPr/>
            </w:pPr>
            <w:r w:rsidDel="00000000" w:rsidR="00000000" w:rsidRPr="00000000">
              <w:rPr>
                <w:rtl w:val="0"/>
              </w:rPr>
              <w:t xml:space="preserve">Номер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A">
            <w:pPr>
              <w:widowControl w:val="0"/>
              <w:rPr/>
            </w:pPr>
            <w:r w:rsidDel="00000000" w:rsidR="00000000" w:rsidRPr="00000000">
              <w:rPr>
                <w:rtl w:val="0"/>
              </w:rPr>
              <w:t xml:space="preserve">Номер акта приймання-передачі майна (за наявності) без знака «№». Наприклад: 123-45. Якщо акт відсутній,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B">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C">
            <w:pPr>
              <w:widowControl w:val="0"/>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D">
            <w:pPr>
              <w:widowControl w:val="0"/>
              <w:rPr/>
            </w:pPr>
            <w:r w:rsidDel="00000000" w:rsidR="00000000" w:rsidRPr="00000000">
              <w:rPr>
                <w:rtl w:val="0"/>
              </w:rPr>
              <w:t xml:space="preserve">actDate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E">
            <w:pPr>
              <w:widowControl w:val="0"/>
              <w:rPr/>
            </w:pPr>
            <w:r w:rsidDel="00000000" w:rsidR="00000000" w:rsidRPr="00000000">
              <w:rPr>
                <w:rtl w:val="0"/>
              </w:rPr>
              <w:t xml:space="preserve">Дата акта</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F">
            <w:pPr>
              <w:widowControl w:val="0"/>
              <w:rPr/>
            </w:pPr>
            <w:r w:rsidDel="00000000" w:rsidR="00000000" w:rsidRPr="00000000">
              <w:rPr>
                <w:rtl w:val="0"/>
              </w:rPr>
              <w:t xml:space="preserve">Дата підписання акта приймання-передачі майна (за наявності) у форматі ISO 8601 (</w:t>
            </w:r>
            <w:r w:rsidDel="00000000" w:rsidR="00000000" w:rsidRPr="00000000">
              <w:rPr>
                <w:rtl w:val="0"/>
              </w:rPr>
              <w:t xml:space="preserve">рррр</w:t>
            </w:r>
            <w:r w:rsidDel="00000000" w:rsidR="00000000" w:rsidRPr="00000000">
              <w:rPr>
                <w:rtl w:val="0"/>
              </w:rPr>
              <w:t xml:space="preserve">-мм-дд). Наприклад: 2018-09-26. Якщо акт відсутній, вказати null.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0">
            <w:pPr>
              <w:widowControl w:val="0"/>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1">
            <w:pPr>
              <w:widowControl w:val="0"/>
              <w:rPr/>
            </w:pPr>
            <w:r w:rsidDel="00000000" w:rsidR="00000000" w:rsidRPr="00000000">
              <w:rPr>
                <w:rtl w:val="0"/>
              </w:rPr>
              <w:t xml:space="preserve">Хибність (false)</w:t>
            </w:r>
          </w:p>
        </w:tc>
      </w:tr>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2">
            <w:pPr>
              <w:widowControl w:val="0"/>
              <w:rPr/>
            </w:pPr>
            <w:r w:rsidDel="00000000" w:rsidR="00000000" w:rsidRPr="00000000">
              <w:rPr>
                <w:rtl w:val="0"/>
              </w:rPr>
              <w:t xml:space="preserve">usageStatus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3">
            <w:pPr>
              <w:widowControl w:val="0"/>
              <w:rPr/>
            </w:pPr>
            <w:r w:rsidDel="00000000" w:rsidR="00000000" w:rsidRPr="00000000">
              <w:rPr>
                <w:rtl w:val="0"/>
              </w:rPr>
              <w:t xml:space="preserve">Стан використання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4">
            <w:pPr>
              <w:widowControl w:val="0"/>
              <w:rPr/>
            </w:pPr>
            <w:r w:rsidDel="00000000" w:rsidR="00000000" w:rsidRPr="00000000">
              <w:rPr>
                <w:rtl w:val="0"/>
              </w:rPr>
              <w:t xml:space="preserve">Для грошових коштів, послуг/робіт стан використання може мати одне зі значень: Не використано, Використано. Для товарів — Не використано, Використовується, Використано.</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5">
            <w:pPr>
              <w:widowControl w:val="0"/>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76">
            <w:pPr>
              <w:widowControl w:val="0"/>
              <w:rPr/>
            </w:pPr>
            <w:r w:rsidDel="00000000" w:rsidR="00000000" w:rsidRPr="00000000">
              <w:rPr>
                <w:rtl w:val="0"/>
              </w:rPr>
              <w:t xml:space="preserve">Істина (true)</w:t>
            </w:r>
          </w:p>
        </w:tc>
      </w:tr>
    </w:tbl>
    <w:p w:rsidR="00000000" w:rsidDel="00000000" w:rsidP="00000000" w:rsidRDefault="00000000" w:rsidRPr="00000000" w14:paraId="00000077">
      <w:pPr>
        <w:pStyle w:val="Heading1"/>
        <w:rPr/>
      </w:pPr>
      <w:bookmarkStart w:colFirst="0" w:colLast="0" w:name="_pgfpiqh5sxxr"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spacing w:after="200"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35"/>
        <w:gridCol w:w="6210"/>
        <w:tblGridChange w:id="0">
          <w:tblGrid>
            <w:gridCol w:w="2835"/>
            <w:gridCol w:w="6210"/>
          </w:tblGrid>
        </w:tblGridChange>
      </w:tblGrid>
      <w:tr>
        <w:trPr>
          <w:trHeight w:val="100" w:hRule="atLeast"/>
        </w:trPr>
        <w:tc>
          <w:tcPr/>
          <w:p w:rsidR="00000000" w:rsidDel="00000000" w:rsidP="00000000" w:rsidRDefault="00000000" w:rsidRPr="00000000" w14:paraId="0000007B">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7C">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7D">
            <w:pPr>
              <w:rPr/>
            </w:pPr>
            <w:r w:rsidDel="00000000" w:rsidR="00000000" w:rsidRPr="00000000">
              <w:rPr>
                <w:rtl w:val="0"/>
              </w:rPr>
              <w:t xml:space="preserve">Назва набору</w:t>
            </w:r>
          </w:p>
        </w:tc>
        <w:tc>
          <w:tcPr/>
          <w:p w:rsidR="00000000" w:rsidDel="00000000" w:rsidP="00000000" w:rsidRDefault="00000000" w:rsidRPr="00000000" w14:paraId="0000007E">
            <w:pPr>
              <w:rPr/>
            </w:pPr>
            <w:r w:rsidDel="00000000" w:rsidR="00000000" w:rsidRPr="00000000">
              <w:rPr>
                <w:rtl w:val="0"/>
              </w:rPr>
              <w:t xml:space="preserve">Надходження і використання благодійної допомоги</w:t>
            </w:r>
          </w:p>
        </w:tc>
      </w:tr>
      <w:tr>
        <w:trPr>
          <w:trHeight w:val="20" w:hRule="atLeast"/>
        </w:trPr>
        <w:tc>
          <w:tcPr/>
          <w:p w:rsidR="00000000" w:rsidDel="00000000" w:rsidP="00000000" w:rsidRDefault="00000000" w:rsidRPr="00000000" w14:paraId="0000007F">
            <w:pPr>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80">
            <w:pPr>
              <w:widowControl w:val="0"/>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81">
            <w:pPr>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82">
            <w:pPr>
              <w:widowControl w:val="0"/>
              <w:rPr/>
            </w:pPr>
            <w:r w:rsidDel="00000000" w:rsidR="00000000" w:rsidRPr="00000000">
              <w:rPr>
                <w:rtl w:val="0"/>
              </w:rPr>
              <w:t xml:space="preserve">В разі внесення змін</w:t>
            </w:r>
          </w:p>
        </w:tc>
      </w:tr>
      <w:tr>
        <w:tc>
          <w:tcPr/>
          <w:p w:rsidR="00000000" w:rsidDel="00000000" w:rsidP="00000000" w:rsidRDefault="00000000" w:rsidRPr="00000000" w14:paraId="00000083">
            <w:pPr>
              <w:rPr/>
            </w:pPr>
            <w:r w:rsidDel="00000000" w:rsidR="00000000" w:rsidRPr="00000000">
              <w:rPr>
                <w:shd w:fill="fcfcfc" w:val="clear"/>
                <w:rtl w:val="0"/>
              </w:rPr>
              <w:t xml:space="preserve">Опис</w:t>
            </w:r>
            <w:r w:rsidDel="00000000" w:rsidR="00000000" w:rsidRPr="00000000">
              <w:rPr>
                <w:rtl w:val="0"/>
              </w:rPr>
            </w:r>
          </w:p>
        </w:tc>
        <w:tc>
          <w:tcPr>
            <w:tcMar>
              <w:top w:w="96.37795275590554" w:type="dxa"/>
              <w:left w:w="96.37795275590554" w:type="dxa"/>
              <w:bottom w:w="96.37795275590554" w:type="dxa"/>
              <w:right w:w="96.37795275590554" w:type="dxa"/>
            </w:tcMar>
          </w:tcPr>
          <w:p w:rsidR="00000000" w:rsidDel="00000000" w:rsidP="00000000" w:rsidRDefault="00000000" w:rsidRPr="00000000" w14:paraId="00000084">
            <w:pPr>
              <w:widowControl w:val="0"/>
              <w:rPr/>
            </w:pPr>
            <w:r w:rsidDel="00000000" w:rsidR="00000000" w:rsidRPr="00000000">
              <w:rPr>
                <w:rtl w:val="0"/>
              </w:rPr>
              <w:t xml:space="preserve">Набір містить дані  щодо надходження і використання благодійної допомоги закладами освіти, що підпорядковані Управлінню освіти Виконавчого комітету Полтавської міської ради. Зокрема, інформацію про благодійників, отримувачів, кількість, вартість т</w:t>
            </w:r>
            <w:r w:rsidDel="00000000" w:rsidR="00000000" w:rsidRPr="00000000">
              <w:rPr>
                <w:rtl w:val="0"/>
              </w:rPr>
              <w:t xml:space="preserve">а</w:t>
            </w:r>
            <w:r w:rsidDel="00000000" w:rsidR="00000000" w:rsidRPr="00000000">
              <w:rPr>
                <w:rtl w:val="0"/>
              </w:rPr>
              <w:t xml:space="preserve"> інші характеристики наданої благодійної допомоги. </w:t>
            </w:r>
          </w:p>
        </w:tc>
      </w:tr>
      <w:tr>
        <w:trPr>
          <w:trHeight w:val="180" w:hRule="atLeast"/>
        </w:trPr>
        <w:tc>
          <w:tcPr/>
          <w:p w:rsidR="00000000" w:rsidDel="00000000" w:rsidP="00000000" w:rsidRDefault="00000000" w:rsidRPr="00000000" w14:paraId="00000085">
            <w:pPr>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86">
            <w:pPr>
              <w:rPr/>
            </w:pPr>
            <w:r w:rsidDel="00000000" w:rsidR="00000000" w:rsidRPr="00000000">
              <w:rPr>
                <w:rtl w:val="0"/>
              </w:rPr>
              <w:t xml:space="preserve">Бюджетний кодекс України, Закон України «Про благодійну діяльність та благодійні організації» від 05.07.2012 № 5073-VI, Закон України «Про освіту» від 05.09.2017 № 2145-VIII, Постанова КМУ від 17.08.1998 № 1295</w:t>
            </w:r>
            <w:r w:rsidDel="00000000" w:rsidR="00000000" w:rsidRPr="00000000">
              <w:rPr>
                <w:rtl w:val="0"/>
              </w:rPr>
            </w:r>
          </w:p>
        </w:tc>
      </w:tr>
      <w:tr>
        <w:trPr>
          <w:trHeight w:val="480" w:hRule="atLeast"/>
        </w:trPr>
        <w:tc>
          <w:tcPr/>
          <w:p w:rsidR="00000000" w:rsidDel="00000000" w:rsidP="00000000" w:rsidRDefault="00000000" w:rsidRPr="00000000" w14:paraId="00000087">
            <w:pPr>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88">
            <w:pPr>
              <w:rPr/>
            </w:pPr>
            <w:r w:rsidDel="00000000" w:rsidR="00000000" w:rsidRPr="00000000">
              <w:rPr>
                <w:rtl w:val="0"/>
              </w:rPr>
              <w:t xml:space="preserve">благодійність, пожертви, грошові кошти, товари, послуги, роботи, благодійна допомога</w:t>
            </w:r>
            <w:r w:rsidDel="00000000" w:rsidR="00000000" w:rsidRPr="00000000">
              <w:rPr>
                <w:rtl w:val="0"/>
              </w:rPr>
            </w:r>
          </w:p>
        </w:tc>
      </w:tr>
      <w:tr>
        <w:trPr>
          <w:trHeight w:val="460" w:hRule="atLeast"/>
        </w:trPr>
        <w:tc>
          <w:tcPr/>
          <w:p w:rsidR="00000000" w:rsidDel="00000000" w:rsidP="00000000" w:rsidRDefault="00000000" w:rsidRPr="00000000" w14:paraId="00000089">
            <w:pPr>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8A">
            <w:pPr>
              <w:widowControl w:val="0"/>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8B">
            <w:pPr>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8C">
            <w:pPr>
              <w:widowControl w:val="0"/>
              <w:rPr/>
            </w:pPr>
            <w:r w:rsidDel="00000000" w:rsidR="00000000" w:rsidRPr="00000000">
              <w:rPr>
                <w:rtl w:val="0"/>
              </w:rPr>
              <w:t xml:space="preserve">o.symonenko@example.gov.ua</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spacing w:after="200" w:lineRule="auto"/>
        <w:jc w:val="center"/>
        <w:rPr>
          <w:b w:val="1"/>
        </w:rPr>
      </w:pPr>
      <w:r w:rsidDel="00000000" w:rsidR="00000000" w:rsidRPr="00000000">
        <w:rPr>
          <w:b w:val="1"/>
          <w:rtl w:val="0"/>
        </w:rPr>
        <w:t xml:space="preserve">Таблиця 3 — Приклад паспорта ресурсу Donations</w:t>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08F">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090">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91">
            <w:pPr>
              <w:rPr/>
            </w:pPr>
            <w:r w:rsidDel="00000000" w:rsidR="00000000" w:rsidRPr="00000000">
              <w:rPr>
                <w:rtl w:val="0"/>
              </w:rPr>
              <w:t xml:space="preserve">Назва ресурсу</w:t>
            </w:r>
          </w:p>
        </w:tc>
        <w:tc>
          <w:tcPr/>
          <w:p w:rsidR="00000000" w:rsidDel="00000000" w:rsidP="00000000" w:rsidRDefault="00000000" w:rsidRPr="00000000" w14:paraId="00000092">
            <w:pPr>
              <w:rPr/>
            </w:pPr>
            <w:r w:rsidDel="00000000" w:rsidR="00000000" w:rsidRPr="00000000">
              <w:rPr>
                <w:rtl w:val="0"/>
              </w:rPr>
              <w:t xml:space="preserve">Donations.xlsx</w:t>
            </w:r>
          </w:p>
        </w:tc>
      </w:tr>
      <w:tr>
        <w:tc>
          <w:tcPr/>
          <w:p w:rsidR="00000000" w:rsidDel="00000000" w:rsidP="00000000" w:rsidRDefault="00000000" w:rsidRPr="00000000" w14:paraId="00000093">
            <w:pPr>
              <w:rPr/>
            </w:pPr>
            <w:r w:rsidDel="00000000" w:rsidR="00000000" w:rsidRPr="00000000">
              <w:rPr>
                <w:rtl w:val="0"/>
              </w:rPr>
              <w:t xml:space="preserve">Опис</w:t>
            </w:r>
          </w:p>
        </w:tc>
        <w:tc>
          <w:tcPr/>
          <w:p w:rsidR="00000000" w:rsidDel="00000000" w:rsidP="00000000" w:rsidRDefault="00000000" w:rsidRPr="00000000" w14:paraId="00000094">
            <w:pPr>
              <w:widowControl w:val="0"/>
              <w:rPr/>
            </w:pPr>
            <w:r w:rsidDel="00000000" w:rsidR="00000000" w:rsidRPr="00000000">
              <w:rPr>
                <w:rtl w:val="0"/>
              </w:rPr>
              <w:t xml:space="preserve">Таблиця містить інформацію про дату отримання найменування, кількість, вартість благодійної допомоги, її набувача й благодійника, реквізити актів приймання-передачі (за наявності), стан використання. Кожним записом до таблиці є благодійна допомога, що була надана благодійником або групою благодійників одноразово.</w:t>
            </w:r>
          </w:p>
        </w:tc>
      </w:tr>
      <w:tr>
        <w:trPr>
          <w:trHeight w:val="160" w:hRule="atLeast"/>
        </w:trPr>
        <w:tc>
          <w:tcPr/>
          <w:p w:rsidR="00000000" w:rsidDel="00000000" w:rsidP="00000000" w:rsidRDefault="00000000" w:rsidRPr="00000000" w14:paraId="00000095">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96">
            <w:pPr>
              <w:widowControl w:val="0"/>
              <w:rPr/>
            </w:pPr>
            <w:r w:rsidDel="00000000" w:rsidR="00000000" w:rsidRPr="00000000">
              <w:rPr>
                <w:rtl w:val="0"/>
              </w:rPr>
              <w:t xml:space="preserve">XLSX</w:t>
            </w:r>
          </w:p>
        </w:tc>
      </w:tr>
    </w:tbl>
    <w:p w:rsidR="00000000" w:rsidDel="00000000" w:rsidP="00000000" w:rsidRDefault="00000000" w:rsidRPr="00000000" w14:paraId="00000097">
      <w:pPr>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budget/charity/Donations.xlsx" TargetMode="External"/><Relationship Id="rId22" Type="http://schemas.openxmlformats.org/officeDocument/2006/relationships/hyperlink" Target="https://github.com/tapas-opendata/decreet-835-mun/raw/master/budget/charity/Example.xlsx" TargetMode="External"/><Relationship Id="rId21" Type="http://schemas.openxmlformats.org/officeDocument/2006/relationships/hyperlink" Target="https://github.com/tapas-opendata/decreet-835-mun/raw/master/budget/charity/Example.xlsx" TargetMode="External"/><Relationship Id="rId24" Type="http://schemas.openxmlformats.org/officeDocument/2006/relationships/hyperlink" Target="https://raw.githubusercontent.com/tapas-opendata/decreet-835-mun/master/budget/charity/Structure.csv" TargetMode="External"/><Relationship Id="rId23" Type="http://schemas.openxmlformats.org/officeDocument/2006/relationships/hyperlink" Target="https://github.com/tapas-opendata/decreet-835-mun/raw/master/budget/charity/Structur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ld.moz.gov.ua/ua/portal/dn_20170725_848.html" TargetMode="External"/><Relationship Id="rId26" Type="http://schemas.openxmlformats.org/officeDocument/2006/relationships/hyperlink" Target="https://docs.ckan.org/en/latest/maintaining/datastore.html" TargetMode="External"/><Relationship Id="rId25" Type="http://schemas.openxmlformats.org/officeDocument/2006/relationships/hyperlink" Target="https://raw.githubusercontent.com/tapas-opendata/decreet-835-mun/master/budget/charity/Structure.json" TargetMode="External"/><Relationship Id="rId5" Type="http://schemas.openxmlformats.org/officeDocument/2006/relationships/styles" Target="styles.xml"/><Relationship Id="rId6" Type="http://schemas.openxmlformats.org/officeDocument/2006/relationships/hyperlink" Target="https://zakon.rada.gov.ua/laws/show/2456-17" TargetMode="External"/><Relationship Id="rId7" Type="http://schemas.openxmlformats.org/officeDocument/2006/relationships/hyperlink" Target="https://zakon0.rada.gov.ua/laws/show/5073-17" TargetMode="External"/><Relationship Id="rId8" Type="http://schemas.openxmlformats.org/officeDocument/2006/relationships/hyperlink" Target="https://zakon.rada.gov.ua/laws/show/2145-19" TargetMode="External"/><Relationship Id="rId11" Type="http://schemas.openxmlformats.org/officeDocument/2006/relationships/hyperlink" Target="https://zakon0.rada.gov.ua/laws/show/5073-17" TargetMode="External"/><Relationship Id="rId10" Type="http://schemas.openxmlformats.org/officeDocument/2006/relationships/hyperlink" Target="https://zakon.rada.gov.ua/laws/show/1295-98-%D0%BF" TargetMode="External"/><Relationship Id="rId13" Type="http://schemas.openxmlformats.org/officeDocument/2006/relationships/hyperlink" Target="https://zakon.rada.gov.ua/laws/show/1295-98-%D0%BF" TargetMode="External"/><Relationship Id="rId12" Type="http://schemas.openxmlformats.org/officeDocument/2006/relationships/hyperlink" Target="https://zakon.rada.gov.ua/laws/show/1295-98-%D0%BF" TargetMode="External"/><Relationship Id="rId15" Type="http://schemas.openxmlformats.org/officeDocument/2006/relationships/hyperlink" Target="http://old.moz.gov.ua/ua/portal/dn_20170725_848.html" TargetMode="External"/><Relationship Id="rId14" Type="http://schemas.openxmlformats.org/officeDocument/2006/relationships/hyperlink" Target="https://zakon.rada.gov.ua/laws/show/2145-19" TargetMode="External"/><Relationship Id="rId17" Type="http://schemas.openxmlformats.org/officeDocument/2006/relationships/hyperlink" Target="https://zakon.rada.gov.ua/laws/main/z1132-17" TargetMode="External"/><Relationship Id="rId16" Type="http://schemas.openxmlformats.org/officeDocument/2006/relationships/hyperlink" Target="https://spending.gov.ua/" TargetMode="External"/><Relationship Id="rId19" Type="http://schemas.openxmlformats.org/officeDocument/2006/relationships/hyperlink" Target="http://www.city.kherson.ua/acts/s226.ZIP" TargetMode="External"/><Relationship Id="rId18" Type="http://schemas.openxmlformats.org/officeDocument/2006/relationships/hyperlink" Target="http://www.namvk.if.ua/dt/214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