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wdum926esc0" w:id="0"/>
      <w:bookmarkEnd w:id="0"/>
      <w:r w:rsidDel="00000000" w:rsidR="00000000" w:rsidRPr="00000000">
        <w:rPr>
          <w:rtl w:val="0"/>
        </w:rPr>
        <w:t xml:space="preserve">Реєстр боргових зобов’язань суб’єктів господарювання комунальної власності територіальної громади</w:t>
      </w:r>
    </w:p>
    <w:p w:rsidR="00000000" w:rsidDel="00000000" w:rsidP="00000000" w:rsidRDefault="00000000" w:rsidRPr="00000000" w14:paraId="00000002">
      <w:pPr>
        <w:pStyle w:val="Heading1"/>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бухгалтерський облік та фінансову звітність в Україні» від 16.07.1999 № 996-XIV</w:t>
              </w:r>
            </w:hyperlink>
            <w:r w:rsidDel="00000000" w:rsidR="00000000" w:rsidRPr="00000000">
              <w:rPr>
                <w:rtl w:val="0"/>
              </w:rPr>
              <w:t xml:space="preserve">, </w:t>
            </w:r>
            <w:hyperlink r:id="rId7">
              <w:r w:rsidDel="00000000" w:rsidR="00000000" w:rsidRPr="00000000">
                <w:rPr>
                  <w:color w:val="1155cc"/>
                  <w:u w:val="single"/>
                  <w:rtl w:val="0"/>
                </w:rPr>
                <w:t xml:space="preserve">Наказ Міністерства фінансів України «Про затвердження Національного положення (стандарту) бухгалтерського обліку 1 „Загальні вимоги до фінансової звітності“» від 07.02.2013 № 73</w:t>
              </w:r>
            </w:hyperlink>
            <w:r w:rsidDel="00000000" w:rsidR="00000000" w:rsidRPr="00000000">
              <w:rPr>
                <w:rtl w:val="0"/>
              </w:rPr>
              <w:t xml:space="preserve">, </w:t>
            </w:r>
            <w:r w:rsidDel="00000000" w:rsidR="00000000" w:rsidRPr="00000000">
              <w:rPr>
                <w:rtl w:val="0"/>
              </w:rPr>
              <w:t xml:space="preserve">нормативно-правові акти органів місцевого самоврядування</w:t>
            </w:r>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Органи місцевого самоврядування ухвалюють власну нормативно-правову базу для обліку боргових зобов’язань суб’єктів господарювання комунальної власності територіальної громади.</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Внесення до реєстру даних про боргові зобов’язання, актуалізація даних</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w:t>
            </w:r>
            <w:r w:rsidDel="00000000" w:rsidR="00000000" w:rsidRPr="00000000">
              <w:rPr>
                <w:rtl w:val="0"/>
              </w:rPr>
              <w:t xml:space="preserve">(протягом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Облік дебіторської та кредиторської заборгованості комунальних підприємств здійснюється відповідно до </w:t>
      </w:r>
      <w:hyperlink r:id="rId8">
        <w:r w:rsidDel="00000000" w:rsidR="00000000" w:rsidRPr="00000000">
          <w:rPr>
            <w:color w:val="1155cc"/>
            <w:u w:val="single"/>
            <w:rtl w:val="0"/>
          </w:rPr>
          <w:t xml:space="preserve">Закону України «Про бухгалтерський облік та фінансову звітність в Україні» від 16.07.1999 № 996-XIV</w:t>
        </w:r>
      </w:hyperlink>
      <w:r w:rsidDel="00000000" w:rsidR="00000000" w:rsidRPr="00000000">
        <w:rPr>
          <w:rtl w:val="0"/>
        </w:rPr>
        <w:t xml:space="preserve">. Зведені дані про дебіторську та кредиторську заборгованість відображаються в Балансі (Звіт про фінансовий стан) підприємств відповідно до </w:t>
      </w:r>
      <w:hyperlink r:id="rId9">
        <w:r w:rsidDel="00000000" w:rsidR="00000000" w:rsidRPr="00000000">
          <w:rPr>
            <w:color w:val="1155cc"/>
            <w:u w:val="single"/>
            <w:rtl w:val="0"/>
          </w:rPr>
          <w:t xml:space="preserve">Національного положення (стандарту) бухгалтерського обліку 1 «Загальні вимоги до фінансової звітності»</w:t>
        </w:r>
      </w:hyperlink>
      <w:r w:rsidDel="00000000" w:rsidR="00000000" w:rsidRPr="00000000">
        <w:rPr>
          <w:rtl w:val="0"/>
        </w:rPr>
        <w:t xml:space="preserve">.</w:t>
      </w:r>
    </w:p>
    <w:p w:rsidR="00000000" w:rsidDel="00000000" w:rsidP="00000000" w:rsidRDefault="00000000" w:rsidRPr="00000000" w14:paraId="00000013">
      <w:pPr>
        <w:spacing w:after="200" w:lineRule="auto"/>
        <w:rPr/>
      </w:pPr>
      <w:r w:rsidDel="00000000" w:rsidR="00000000" w:rsidRPr="00000000">
        <w:rPr>
          <w:rtl w:val="0"/>
        </w:rPr>
        <w:t xml:space="preserve">Органи місцевого самоврядування можуть ухвалювати власну нормативно-правову базу для обліку боргових зобов'язань, наприклад: </w:t>
      </w:r>
      <w:hyperlink r:id="rId10">
        <w:r w:rsidDel="00000000" w:rsidR="00000000" w:rsidRPr="00000000">
          <w:rPr>
            <w:color w:val="1155cc"/>
            <w:u w:val="single"/>
            <w:rtl w:val="0"/>
          </w:rPr>
          <w:t xml:space="preserve">Рішення Київської міської ради від 09.12.2014 № 517/517</w:t>
        </w:r>
      </w:hyperlink>
      <w:r w:rsidDel="00000000" w:rsidR="00000000" w:rsidRPr="00000000">
        <w:rPr>
          <w:rtl w:val="0"/>
        </w:rPr>
        <w:t xml:space="preserve">.</w:t>
      </w:r>
    </w:p>
    <w:p w:rsidR="00000000" w:rsidDel="00000000" w:rsidP="00000000" w:rsidRDefault="00000000" w:rsidRPr="00000000" w14:paraId="00000014">
      <w:pPr>
        <w:pStyle w:val="Heading1"/>
        <w:spacing w:after="200" w:lineRule="auto"/>
        <w:rPr/>
      </w:pPr>
      <w:bookmarkStart w:colFirst="0" w:colLast="0" w:name="_j9alyhxw3ktl" w:id="3"/>
      <w:bookmarkEnd w:id="3"/>
      <w:r w:rsidDel="00000000" w:rsidR="00000000" w:rsidRPr="00000000">
        <w:rPr>
          <w:rtl w:val="0"/>
        </w:rPr>
        <w:t xml:space="preserve">3. Підготовка даних та структура набору</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Одне боргове зобов'язання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hyperlink r:id="rId11">
              <w:r w:rsidDel="00000000" w:rsidR="00000000" w:rsidRPr="00000000">
                <w:rPr>
                  <w:color w:val="1155cc"/>
                  <w:u w:val="single"/>
                  <w:rtl w:val="0"/>
                </w:rPr>
                <w:t xml:space="preserve">Register.xlsx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hyperlink r:id="rId12">
              <w:r w:rsidDel="00000000" w:rsidR="00000000" w:rsidRPr="00000000">
                <w:rPr>
                  <w:color w:val="1155cc"/>
                  <w:u w:val="single"/>
                  <w:rtl w:val="0"/>
                </w:rPr>
                <w:t xml:space="preserve">Example</w:t>
              </w:r>
            </w:hyperlink>
            <w:hyperlink r:id="rId13">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hyperlink r:id="rId14">
              <w:r w:rsidDel="00000000" w:rsidR="00000000" w:rsidRPr="00000000">
                <w:rPr>
                  <w:color w:val="1155cc"/>
                  <w:u w:val="single"/>
                  <w:rtl w:val="0"/>
                </w:rPr>
                <w:t xml:space="preserve">Structure.xlsx</w:t>
              </w:r>
            </w:hyperlink>
            <w:r w:rsidDel="00000000" w:rsidR="00000000" w:rsidRPr="00000000">
              <w:rPr>
                <w:rtl w:val="0"/>
              </w:rPr>
              <w:t xml:space="preserve">, </w:t>
            </w:r>
            <w:hyperlink r:id="rId15">
              <w:r w:rsidDel="00000000" w:rsidR="00000000" w:rsidRPr="00000000">
                <w:rPr>
                  <w:color w:val="1155cc"/>
                  <w:u w:val="single"/>
                  <w:rtl w:val="0"/>
                </w:rPr>
                <w:t xml:space="preserve">Structure.csv</w:t>
              </w:r>
            </w:hyperlink>
            <w:r w:rsidDel="00000000" w:rsidR="00000000" w:rsidRPr="00000000">
              <w:rPr>
                <w:rtl w:val="0"/>
              </w:rPr>
              <w:t xml:space="preserve">, </w:t>
            </w:r>
            <w:hyperlink r:id="rId16">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5">
      <w:pPr>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7">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7">
      <w:pPr>
        <w:spacing w:after="200" w:lineRule="auto"/>
        <w:rPr>
          <w:b w:val="1"/>
        </w:rPr>
      </w:pPr>
      <w:r w:rsidDel="00000000" w:rsidR="00000000" w:rsidRPr="00000000">
        <w:rPr>
          <w:rtl w:val="0"/>
        </w:rPr>
      </w:r>
    </w:p>
    <w:p w:rsidR="00000000" w:rsidDel="00000000" w:rsidP="00000000" w:rsidRDefault="00000000" w:rsidRPr="00000000" w14:paraId="00000028">
      <w:pPr>
        <w:spacing w:after="200" w:lineRule="auto"/>
        <w:jc w:val="center"/>
        <w:rPr>
          <w:b w:val="1"/>
        </w:rPr>
      </w:pPr>
      <w:r w:rsidDel="00000000" w:rsidR="00000000" w:rsidRPr="00000000">
        <w:rPr>
          <w:b w:val="1"/>
          <w:rtl w:val="0"/>
        </w:rPr>
        <w:t xml:space="preserve">Таблиця 1 — Структура таблиці (ресурсу) Register</w:t>
      </w:r>
    </w:p>
    <w:tbl>
      <w:tblPr>
        <w:tblStyle w:val="Table4"/>
        <w:tblW w:w="906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95"/>
        <w:gridCol w:w="1695"/>
        <w:gridCol w:w="3060"/>
        <w:gridCol w:w="1380"/>
        <w:gridCol w:w="1530"/>
        <w:tblGridChange w:id="0">
          <w:tblGrid>
            <w:gridCol w:w="1395"/>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9">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A">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rPr/>
            </w:pPr>
            <w:r w:rsidDel="00000000" w:rsidR="00000000" w:rsidRPr="00000000">
              <w:rPr>
                <w:rtl w:val="0"/>
              </w:rPr>
              <w:t xml:space="preserve">Порядковий номер або будь-який інший унікальний ідентифікатор </w:t>
            </w:r>
            <w:r w:rsidDel="00000000" w:rsidR="00000000" w:rsidRPr="00000000">
              <w:rPr>
                <w:rtl w:val="0"/>
              </w:rPr>
              <w:t xml:space="preserve">зобов’язання</w:t>
            </w:r>
            <w:r w:rsidDel="00000000" w:rsidR="00000000" w:rsidRPr="00000000">
              <w:rPr>
                <w:rtl w:val="0"/>
              </w:rPr>
              <w:t xml:space="preserve">. Наприклад: 5.</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1">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2">
            <w:pPr>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3">
            <w:pPr>
              <w:rPr/>
            </w:pPr>
            <w:r w:rsidDel="00000000" w:rsidR="00000000" w:rsidRPr="00000000">
              <w:rPr>
                <w:rtl w:val="0"/>
              </w:rPr>
              <w:t xml:space="preserve">debtorName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4">
            <w:pPr>
              <w:rPr/>
            </w:pPr>
            <w:r w:rsidDel="00000000" w:rsidR="00000000" w:rsidRPr="00000000">
              <w:rPr>
                <w:rtl w:val="0"/>
              </w:rPr>
              <w:t xml:space="preserve">Назва позичальника</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5">
            <w:pPr>
              <w:rPr/>
            </w:pPr>
            <w:r w:rsidDel="00000000" w:rsidR="00000000" w:rsidRPr="00000000">
              <w:rPr>
                <w:rtl w:val="0"/>
              </w:rPr>
              <w:t xml:space="preserve">Назва суб’єкта господарювання, який є позичальником. Наприклад: КП «Комунтранс».</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6">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7">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8">
            <w:pPr>
              <w:rPr/>
            </w:pPr>
            <w:r w:rsidDel="00000000" w:rsidR="00000000" w:rsidRPr="00000000">
              <w:rPr>
                <w:rtl w:val="0"/>
              </w:rPr>
              <w:t xml:space="preserve">debtorIdentifier</w:t>
            </w:r>
            <w:r w:rsidDel="00000000" w:rsidR="00000000" w:rsidRPr="00000000">
              <w:rPr>
                <w:rtl w:val="0"/>
              </w:rPr>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9">
            <w:pPr>
              <w:rPr/>
            </w:pPr>
            <w:r w:rsidDel="00000000" w:rsidR="00000000" w:rsidRPr="00000000">
              <w:rPr>
                <w:rtl w:val="0"/>
              </w:rPr>
              <w:t xml:space="preserve">Ідентифікатор позичальника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A">
            <w:pPr>
              <w:rPr/>
            </w:pPr>
            <w:r w:rsidDel="00000000" w:rsidR="00000000" w:rsidRPr="00000000">
              <w:rPr>
                <w:rtl w:val="0"/>
              </w:rPr>
              <w:t xml:space="preserve">Код ЄДРПОУ суб’єкта господарювання, який є позичальником.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C">
            <w:pPr>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D">
            <w:pPr>
              <w:rPr/>
            </w:pPr>
            <w:r w:rsidDel="00000000" w:rsidR="00000000" w:rsidRPr="00000000">
              <w:rPr>
                <w:rtl w:val="0"/>
              </w:rPr>
              <w:t xml:space="preserve">creditor</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E">
            <w:pPr>
              <w:rPr/>
            </w:pPr>
            <w:r w:rsidDel="00000000" w:rsidR="00000000" w:rsidRPr="00000000">
              <w:rPr>
                <w:rtl w:val="0"/>
              </w:rPr>
              <w:t xml:space="preserve">Назва кредитора</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F">
            <w:pPr>
              <w:rPr/>
            </w:pPr>
            <w:r w:rsidDel="00000000" w:rsidR="00000000" w:rsidRPr="00000000">
              <w:rPr>
                <w:rtl w:val="0"/>
              </w:rPr>
              <w:t xml:space="preserve">Назва юридичної особи, яка є кредитором. Наприклад: Європейський банк реконструкції та розвитку.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1">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2">
            <w:pPr>
              <w:rPr/>
            </w:pPr>
            <w:r w:rsidDel="00000000" w:rsidR="00000000" w:rsidRPr="00000000">
              <w:rPr>
                <w:rtl w:val="0"/>
              </w:rPr>
              <w:t xml:space="preserve">creditorIdentifier</w:t>
            </w:r>
            <w:r w:rsidDel="00000000" w:rsidR="00000000" w:rsidRPr="00000000">
              <w:rPr>
                <w:rtl w:val="0"/>
              </w:rPr>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3">
            <w:pPr>
              <w:rPr/>
            </w:pPr>
            <w:r w:rsidDel="00000000" w:rsidR="00000000" w:rsidRPr="00000000">
              <w:rPr>
                <w:rtl w:val="0"/>
              </w:rPr>
              <w:t xml:space="preserve">Ідентифікатор кредитора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4">
            <w:pPr>
              <w:rPr/>
            </w:pPr>
            <w:r w:rsidDel="00000000" w:rsidR="00000000" w:rsidRPr="00000000">
              <w:rPr>
                <w:rtl w:val="0"/>
              </w:rPr>
              <w:t xml:space="preserve">Код ЄДРПОУ або аналог юридичної особи, яка є кредитором або аналог.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6">
            <w:pPr>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rPr/>
            </w:pPr>
            <w:r w:rsidDel="00000000" w:rsidR="00000000" w:rsidRPr="00000000">
              <w:rPr>
                <w:rtl w:val="0"/>
              </w:rPr>
              <w:t xml:space="preserve">Назва</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rPr/>
            </w:pPr>
            <w:r w:rsidDel="00000000" w:rsidR="00000000" w:rsidRPr="00000000">
              <w:rPr>
                <w:rtl w:val="0"/>
              </w:rPr>
              <w:t xml:space="preserve">Назва боргового зобов’язання. Наприклад: Кредит.</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C">
            <w:pPr>
              <w:rPr/>
            </w:pPr>
            <w:r w:rsidDel="00000000" w:rsidR="00000000" w:rsidRPr="00000000">
              <w:rPr>
                <w:rtl w:val="0"/>
              </w:rPr>
              <w:t xml:space="preserve">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rPr/>
            </w:pPr>
            <w:r w:rsidDel="00000000" w:rsidR="00000000" w:rsidRPr="00000000">
              <w:rPr>
                <w:rtl w:val="0"/>
              </w:rPr>
              <w:t xml:space="preserve">Обсяг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rPr/>
            </w:pPr>
            <w:r w:rsidDel="00000000" w:rsidR="00000000" w:rsidRPr="00000000">
              <w:rPr>
                <w:rtl w:val="0"/>
              </w:rPr>
              <w:t xml:space="preserve">Загальний обсяг боргового зобов'язання (лише число). Наприклад: 3000000.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1">
            <w:pPr>
              <w:rPr/>
            </w:pPr>
            <w:r w:rsidDel="00000000" w:rsidR="00000000" w:rsidRPr="00000000">
              <w:rPr>
                <w:rtl w:val="0"/>
              </w:rPr>
              <w:t xml:space="preserve">valueCurrency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rPr/>
            </w:pPr>
            <w:r w:rsidDel="00000000" w:rsidR="00000000" w:rsidRPr="00000000">
              <w:rPr>
                <w:rtl w:val="0"/>
              </w:rPr>
              <w:t xml:space="preserve">Валюта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rPr/>
            </w:pPr>
            <w:r w:rsidDel="00000000" w:rsidR="00000000" w:rsidRPr="00000000">
              <w:rPr>
                <w:rtl w:val="0"/>
              </w:rPr>
              <w:t xml:space="preserve">Буквений код валюти, у якій виражений обсяг, відповідно до ДСТУ ISO 4217 (</w:t>
            </w:r>
            <w:hyperlink r:id="rId18">
              <w:r w:rsidDel="00000000" w:rsidR="00000000" w:rsidRPr="00000000">
                <w:rPr>
                  <w:color w:val="1155cc"/>
                  <w:u w:val="single"/>
                  <w:rtl w:val="0"/>
                </w:rPr>
                <w:t xml:space="preserve">https://zakon.rada.gov.ua/rada/show/v0416832-14/conv</w:t>
              </w:r>
            </w:hyperlink>
            <w:r w:rsidDel="00000000" w:rsidR="00000000" w:rsidRPr="00000000">
              <w:rPr>
                <w:rtl w:val="0"/>
              </w:rPr>
              <w:t xml:space="preserve">). Наприклад: EUR.</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5">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6">
            <w:pPr>
              <w:rPr/>
            </w:pPr>
            <w:r w:rsidDel="00000000" w:rsidR="00000000" w:rsidRPr="00000000">
              <w:rPr>
                <w:rtl w:val="0"/>
              </w:rPr>
              <w:t xml:space="preserve">percent</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rPr/>
            </w:pPr>
            <w:r w:rsidDel="00000000" w:rsidR="00000000" w:rsidRPr="00000000">
              <w:rPr>
                <w:rtl w:val="0"/>
              </w:rPr>
              <w:t xml:space="preserve">Відсоткова ставка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rPr/>
            </w:pPr>
            <w:r w:rsidDel="00000000" w:rsidR="00000000" w:rsidRPr="00000000">
              <w:rPr>
                <w:rtl w:val="0"/>
              </w:rPr>
              <w:t xml:space="preserve">Відсоткова ставка боргового зобов'язання (без знака «%»). Наприклад: 3.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B">
            <w:pPr>
              <w:rPr/>
            </w:pPr>
            <w:r w:rsidDel="00000000" w:rsidR="00000000" w:rsidRPr="00000000">
              <w:rPr>
                <w:rtl w:val="0"/>
              </w:rPr>
              <w:t xml:space="preserve">periodStartDate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C">
            <w:pPr>
              <w:rPr/>
            </w:pPr>
            <w:r w:rsidDel="00000000" w:rsidR="00000000" w:rsidRPr="00000000">
              <w:rPr>
                <w:rtl w:val="0"/>
              </w:rPr>
              <w:t xml:space="preserve">Початок строку</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D">
            <w:pPr>
              <w:rPr/>
            </w:pPr>
            <w:r w:rsidDel="00000000" w:rsidR="00000000" w:rsidRPr="00000000">
              <w:rPr>
                <w:rtl w:val="0"/>
              </w:rPr>
              <w:t xml:space="preserve">Дата початку строку, протягом якого має бути повернуте боргове зобов'язання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E">
            <w:pPr>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0">
            <w:pPr>
              <w:rPr/>
            </w:pPr>
            <w:r w:rsidDel="00000000" w:rsidR="00000000" w:rsidRPr="00000000">
              <w:rPr>
                <w:rtl w:val="0"/>
              </w:rPr>
              <w:t xml:space="preserve">periodEndDate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1">
            <w:pPr>
              <w:rPr/>
            </w:pPr>
            <w:r w:rsidDel="00000000" w:rsidR="00000000" w:rsidRPr="00000000">
              <w:rPr>
                <w:rtl w:val="0"/>
              </w:rPr>
              <w:t xml:space="preserve">Кінець строку</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2">
            <w:pPr>
              <w:rPr/>
            </w:pPr>
            <w:r w:rsidDel="00000000" w:rsidR="00000000" w:rsidRPr="00000000">
              <w:rPr>
                <w:rtl w:val="0"/>
              </w:rPr>
              <w:t xml:space="preserve">Дата завершення строку,  протягом якого має бути повернуте боргове зобов'язання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3">
            <w:pPr>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4">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5">
            <w:pPr>
              <w:rPr/>
            </w:pPr>
            <w:r w:rsidDel="00000000" w:rsidR="00000000" w:rsidRPr="00000000">
              <w:rPr>
                <w:rtl w:val="0"/>
              </w:rPr>
              <w:t xml:space="preserve">status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rPr/>
            </w:pPr>
            <w:r w:rsidDel="00000000" w:rsidR="00000000" w:rsidRPr="00000000">
              <w:rPr>
                <w:rtl w:val="0"/>
              </w:rPr>
              <w:t xml:space="preserve">Статус</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rPr/>
            </w:pPr>
            <w:r w:rsidDel="00000000" w:rsidR="00000000" w:rsidRPr="00000000">
              <w:rPr>
                <w:rtl w:val="0"/>
              </w:rPr>
              <w:t xml:space="preserve">Статус боргового зобов'язання може мати одне зі значень: Дійсне, Виконане, Скасоване.</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8">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9">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A">
            <w:pPr>
              <w:rPr/>
            </w:pPr>
            <w:r w:rsidDel="00000000" w:rsidR="00000000" w:rsidRPr="00000000">
              <w:rPr>
                <w:rtl w:val="0"/>
              </w:rPr>
              <w:t xml:space="preserve">provisionDescription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rPr/>
            </w:pPr>
            <w:r w:rsidDel="00000000" w:rsidR="00000000" w:rsidRPr="00000000">
              <w:rPr>
                <w:rtl w:val="0"/>
              </w:rPr>
              <w:t xml:space="preserve">Забезпечення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rPr/>
            </w:pPr>
            <w:r w:rsidDel="00000000" w:rsidR="00000000" w:rsidRPr="00000000">
              <w:rPr>
                <w:rtl w:val="0"/>
              </w:rPr>
              <w:t xml:space="preserve">Інформація про забезпечення боргового зобов'язання. Наприклад: Місцева гарантія.</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D">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E">
            <w:pPr>
              <w:rPr/>
            </w:pPr>
            <w:r w:rsidDel="00000000" w:rsidR="00000000" w:rsidRPr="00000000">
              <w:rPr>
                <w:rtl w:val="0"/>
              </w:rPr>
              <w:t xml:space="preserve">Істина (true)</w:t>
            </w:r>
          </w:p>
        </w:tc>
      </w:tr>
    </w:tbl>
    <w:p w:rsidR="00000000" w:rsidDel="00000000" w:rsidP="00000000" w:rsidRDefault="00000000" w:rsidRPr="00000000" w14:paraId="0000006F">
      <w:pPr>
        <w:spacing w:after="200" w:lineRule="auto"/>
        <w:rPr/>
      </w:pPr>
      <w:r w:rsidDel="00000000" w:rsidR="00000000" w:rsidRPr="00000000">
        <w:rPr>
          <w:rtl w:val="0"/>
        </w:rPr>
      </w:r>
    </w:p>
    <w:p w:rsidR="00000000" w:rsidDel="00000000" w:rsidP="00000000" w:rsidRDefault="00000000" w:rsidRPr="00000000" w14:paraId="00000070">
      <w:pPr>
        <w:pStyle w:val="Heading1"/>
        <w:rPr/>
      </w:pPr>
      <w:bookmarkStart w:colFirst="0" w:colLast="0" w:name="_4y2iurc9n0i5"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72">
      <w:pPr>
        <w:spacing w:after="200" w:lineRule="auto"/>
        <w:rPr/>
      </w:pPr>
      <w:r w:rsidDel="00000000" w:rsidR="00000000" w:rsidRPr="00000000">
        <w:rPr>
          <w:rtl w:val="0"/>
        </w:rPr>
      </w:r>
    </w:p>
    <w:p w:rsidR="00000000" w:rsidDel="00000000" w:rsidP="00000000" w:rsidRDefault="00000000" w:rsidRPr="00000000" w14:paraId="00000073">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74">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75">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76">
            <w:pPr>
              <w:rPr/>
            </w:pPr>
            <w:r w:rsidDel="00000000" w:rsidR="00000000" w:rsidRPr="00000000">
              <w:rPr>
                <w:rtl w:val="0"/>
              </w:rPr>
              <w:t xml:space="preserve">Назва набору</w:t>
            </w:r>
          </w:p>
        </w:tc>
        <w:tc>
          <w:tcPr/>
          <w:p w:rsidR="00000000" w:rsidDel="00000000" w:rsidP="00000000" w:rsidRDefault="00000000" w:rsidRPr="00000000" w14:paraId="00000077">
            <w:pPr>
              <w:widowControl w:val="0"/>
              <w:rPr/>
            </w:pPr>
            <w:r w:rsidDel="00000000" w:rsidR="00000000" w:rsidRPr="00000000">
              <w:rPr>
                <w:rtl w:val="0"/>
              </w:rPr>
              <w:t xml:space="preserve">Реєстр боргових зобов’язань суб’єктів господарювання комунальної власності територіальної громади міста Києва</w:t>
            </w:r>
          </w:p>
        </w:tc>
      </w:tr>
      <w:tr>
        <w:trPr>
          <w:trHeight w:val="620" w:hRule="atLeast"/>
        </w:trPr>
        <w:tc>
          <w:tcPr/>
          <w:p w:rsidR="00000000" w:rsidDel="00000000" w:rsidP="00000000" w:rsidRDefault="00000000" w:rsidRPr="00000000" w14:paraId="00000078">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79">
            <w:pPr>
              <w:widowControl w:val="0"/>
              <w:rPr/>
            </w:pPr>
            <w:r w:rsidDel="00000000" w:rsidR="00000000" w:rsidRPr="00000000">
              <w:rPr>
                <w:rtl w:val="0"/>
              </w:rPr>
              <w:t xml:space="preserve">Українська</w:t>
            </w:r>
          </w:p>
        </w:tc>
      </w:tr>
      <w:tr>
        <w:trPr>
          <w:trHeight w:val="540" w:hRule="atLeast"/>
        </w:trPr>
        <w:tc>
          <w:tcPr/>
          <w:p w:rsidR="00000000" w:rsidDel="00000000" w:rsidP="00000000" w:rsidRDefault="00000000" w:rsidRPr="00000000" w14:paraId="0000007A">
            <w:pPr>
              <w:rPr/>
            </w:pPr>
            <w:r w:rsidDel="00000000" w:rsidR="00000000" w:rsidRPr="00000000">
              <w:rPr>
                <w:rtl w:val="0"/>
              </w:rPr>
              <w:t xml:space="preserve">Частота оновлення</w:t>
            </w:r>
          </w:p>
        </w:tc>
        <w:tc>
          <w:tcPr/>
          <w:p w:rsidR="00000000" w:rsidDel="00000000" w:rsidP="00000000" w:rsidRDefault="00000000" w:rsidRPr="00000000" w14:paraId="0000007B">
            <w:pPr>
              <w:widowControl w:val="0"/>
              <w:rPr/>
            </w:pPr>
            <w:r w:rsidDel="00000000" w:rsidR="00000000" w:rsidRPr="00000000">
              <w:rPr>
                <w:rtl w:val="0"/>
              </w:rPr>
              <w:t xml:space="preserve">Відразу після внесення змін</w:t>
            </w:r>
          </w:p>
        </w:tc>
      </w:tr>
      <w:tr>
        <w:tc>
          <w:tcPr/>
          <w:p w:rsidR="00000000" w:rsidDel="00000000" w:rsidP="00000000" w:rsidRDefault="00000000" w:rsidRPr="00000000" w14:paraId="0000007C">
            <w:pPr>
              <w:rPr/>
            </w:pPr>
            <w:r w:rsidDel="00000000" w:rsidR="00000000" w:rsidRPr="00000000">
              <w:rPr>
                <w:rtl w:val="0"/>
              </w:rPr>
              <w:t xml:space="preserve">Опис</w:t>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7D">
            <w:pPr>
              <w:widowControl w:val="0"/>
              <w:rPr/>
            </w:pPr>
            <w:r w:rsidDel="00000000" w:rsidR="00000000" w:rsidRPr="00000000">
              <w:rPr>
                <w:rtl w:val="0"/>
              </w:rPr>
              <w:t xml:space="preserve">Набір містить реєстр боргових зобов’язань суб’єктів господарювання комунальної власності територіальної громади міста Києва. Зокрема, інформацію про позичальників та кредиторів, істотні умови боргового зобов'язання та інше.</w:t>
            </w:r>
          </w:p>
        </w:tc>
      </w:tr>
      <w:tr>
        <w:trPr>
          <w:trHeight w:val="180" w:hRule="atLeast"/>
        </w:trPr>
        <w:tc>
          <w:tcPr/>
          <w:p w:rsidR="00000000" w:rsidDel="00000000" w:rsidP="00000000" w:rsidRDefault="00000000" w:rsidRPr="00000000" w14:paraId="0000007E">
            <w:pPr>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07F">
            <w:pPr>
              <w:widowControl w:val="0"/>
              <w:rPr/>
            </w:pPr>
            <w:r w:rsidDel="00000000" w:rsidR="00000000" w:rsidRPr="00000000">
              <w:rPr>
                <w:rtl w:val="0"/>
              </w:rPr>
              <w:t xml:space="preserve">Закон України «Про бухгалтерський облік та фінансову звітність в Україні» від 16.07.1999 № 996-XIV, Рішення Київської міської ради «Про утворення Реєстру боргових зобов'язань суб'єктів господарювання комунальної власності територіальної громади міста Києва» від 9.12.2014 року № 517/517</w:t>
            </w:r>
          </w:p>
        </w:tc>
      </w:tr>
      <w:tr>
        <w:trPr>
          <w:trHeight w:val="120" w:hRule="atLeast"/>
        </w:trPr>
        <w:tc>
          <w:tcPr/>
          <w:p w:rsidR="00000000" w:rsidDel="00000000" w:rsidP="00000000" w:rsidRDefault="00000000" w:rsidRPr="00000000" w14:paraId="00000080">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81">
            <w:pPr>
              <w:widowControl w:val="0"/>
              <w:rPr/>
            </w:pPr>
            <w:r w:rsidDel="00000000" w:rsidR="00000000" w:rsidRPr="00000000">
              <w:rPr>
                <w:rtl w:val="0"/>
              </w:rPr>
              <w:t xml:space="preserve">зобов'язання, борг, кредит, боржник, кредитор, суб’єкти господарювання</w:t>
            </w:r>
            <w:r w:rsidDel="00000000" w:rsidR="00000000" w:rsidRPr="00000000">
              <w:rPr>
                <w:rtl w:val="0"/>
              </w:rPr>
            </w:r>
          </w:p>
        </w:tc>
      </w:tr>
      <w:tr>
        <w:trPr>
          <w:trHeight w:val="460" w:hRule="atLeast"/>
        </w:trPr>
        <w:tc>
          <w:tcPr/>
          <w:p w:rsidR="00000000" w:rsidDel="00000000" w:rsidP="00000000" w:rsidRDefault="00000000" w:rsidRPr="00000000" w14:paraId="00000082">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83">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84">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85">
            <w:pPr>
              <w:widowControl w:val="0"/>
              <w:rPr/>
            </w:pPr>
            <w:r w:rsidDel="00000000" w:rsidR="00000000" w:rsidRPr="00000000">
              <w:rPr>
                <w:rtl w:val="0"/>
              </w:rPr>
              <w:t xml:space="preserve">o.symonenko@example.gov.ua</w:t>
            </w:r>
          </w:p>
        </w:tc>
      </w:tr>
    </w:tbl>
    <w:p w:rsidR="00000000" w:rsidDel="00000000" w:rsidP="00000000" w:rsidRDefault="00000000" w:rsidRPr="00000000" w14:paraId="00000086">
      <w:pPr>
        <w:spacing w:after="200" w:lineRule="auto"/>
        <w:jc w:val="center"/>
        <w:rPr/>
      </w:pPr>
      <w:r w:rsidDel="00000000" w:rsidR="00000000" w:rsidRPr="00000000">
        <w:rPr>
          <w:rtl w:val="0"/>
        </w:rPr>
      </w:r>
    </w:p>
    <w:p w:rsidR="00000000" w:rsidDel="00000000" w:rsidP="00000000" w:rsidRDefault="00000000" w:rsidRPr="00000000" w14:paraId="00000087">
      <w:pPr>
        <w:spacing w:after="200" w:lineRule="auto"/>
        <w:jc w:val="center"/>
        <w:rPr>
          <w:b w:val="1"/>
        </w:rPr>
      </w:pPr>
      <w:r w:rsidDel="00000000" w:rsidR="00000000" w:rsidRPr="00000000">
        <w:rPr>
          <w:b w:val="1"/>
          <w:rtl w:val="0"/>
        </w:rPr>
        <w:t xml:space="preserve">Таблиця 3 — Приклад паспорта ресурсу Register</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88">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89">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8A">
            <w:pPr>
              <w:rPr/>
            </w:pPr>
            <w:r w:rsidDel="00000000" w:rsidR="00000000" w:rsidRPr="00000000">
              <w:rPr>
                <w:rtl w:val="0"/>
              </w:rPr>
              <w:t xml:space="preserve">Назва ресурсу</w:t>
            </w:r>
          </w:p>
        </w:tc>
        <w:tc>
          <w:tcPr/>
          <w:p w:rsidR="00000000" w:rsidDel="00000000" w:rsidP="00000000" w:rsidRDefault="00000000" w:rsidRPr="00000000" w14:paraId="0000008B">
            <w:pPr>
              <w:rPr/>
            </w:pPr>
            <w:r w:rsidDel="00000000" w:rsidR="00000000" w:rsidRPr="00000000">
              <w:rPr>
                <w:rtl w:val="0"/>
              </w:rPr>
              <w:t xml:space="preserve">Register.xlsx</w:t>
            </w:r>
          </w:p>
        </w:tc>
      </w:tr>
      <w:tr>
        <w:tc>
          <w:tcPr/>
          <w:p w:rsidR="00000000" w:rsidDel="00000000" w:rsidP="00000000" w:rsidRDefault="00000000" w:rsidRPr="00000000" w14:paraId="0000008C">
            <w:pPr>
              <w:rPr/>
            </w:pPr>
            <w:r w:rsidDel="00000000" w:rsidR="00000000" w:rsidRPr="00000000">
              <w:rPr>
                <w:rtl w:val="0"/>
              </w:rPr>
              <w:t xml:space="preserve">Опис</w:t>
            </w:r>
          </w:p>
        </w:tc>
        <w:tc>
          <w:tcPr/>
          <w:p w:rsidR="00000000" w:rsidDel="00000000" w:rsidP="00000000" w:rsidRDefault="00000000" w:rsidRPr="00000000" w14:paraId="0000008D">
            <w:pPr>
              <w:widowControl w:val="0"/>
              <w:rPr/>
            </w:pPr>
            <w:r w:rsidDel="00000000" w:rsidR="00000000" w:rsidRPr="00000000">
              <w:rPr>
                <w:rtl w:val="0"/>
              </w:rPr>
              <w:t xml:space="preserve">Таблиця містить ідентифікатори, назви позичальників і кредиторів, найменування боргового зобов'язання, його статус, розмір, відсоткову ставку, строки виплати, забезпечення. Кожним записом до таблиці є одне боргове зобов'язання.</w:t>
            </w:r>
          </w:p>
        </w:tc>
      </w:tr>
      <w:tr>
        <w:trPr>
          <w:trHeight w:val="160" w:hRule="atLeast"/>
        </w:trPr>
        <w:tc>
          <w:tcPr/>
          <w:p w:rsidR="00000000" w:rsidDel="00000000" w:rsidP="00000000" w:rsidRDefault="00000000" w:rsidRPr="00000000" w14:paraId="0000008E">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8F">
            <w:pPr>
              <w:widowControl w:val="0"/>
              <w:rPr/>
            </w:pPr>
            <w:r w:rsidDel="00000000" w:rsidR="00000000" w:rsidRPr="00000000">
              <w:rPr>
                <w:rtl w:val="0"/>
              </w:rPr>
              <w:t xml:space="preserve">XLSX</w:t>
            </w:r>
          </w:p>
        </w:tc>
      </w:tr>
    </w:tbl>
    <w:p w:rsidR="00000000" w:rsidDel="00000000" w:rsidP="00000000" w:rsidRDefault="00000000" w:rsidRPr="00000000" w14:paraId="00000090">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pas-opendata/decreet-835-mun/raw/master/budget/debt-register/Register.xlsx" TargetMode="External"/><Relationship Id="rId10" Type="http://schemas.openxmlformats.org/officeDocument/2006/relationships/hyperlink" Target="http://kmr.ligazakon.ua/SITE2/l_docki2.nsf/alldocWWW/EFEBDF8B91A7EFE1C2257DB7006DEA4B?OpenDocument" TargetMode="External"/><Relationship Id="rId13" Type="http://schemas.openxmlformats.org/officeDocument/2006/relationships/hyperlink" Target="https://github.com/tapas-opendata/decreet-835-mun/raw/master/budget/debt-register/Example.xlsx" TargetMode="External"/><Relationship Id="rId12" Type="http://schemas.openxmlformats.org/officeDocument/2006/relationships/hyperlink" Target="https://github.com/tapas-opendata/decreet-835-mun/raw/master/budget/debt-register/Exampl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z0336-13" TargetMode="External"/><Relationship Id="rId15" Type="http://schemas.openxmlformats.org/officeDocument/2006/relationships/hyperlink" Target="https://raw.githubusercontent.com/tapas-opendata/decreet-835-mun/master/budget/debt-register/Structure.csv" TargetMode="External"/><Relationship Id="rId14" Type="http://schemas.openxmlformats.org/officeDocument/2006/relationships/hyperlink" Target="https://github.com/tapas-opendata/decreet-835-mun/raw/master/budget/debt-register/Structure.xlsx" TargetMode="External"/><Relationship Id="rId17" Type="http://schemas.openxmlformats.org/officeDocument/2006/relationships/hyperlink" Target="https://docs.ckan.org/en/latest/maintaining/datastore.html" TargetMode="External"/><Relationship Id="rId16" Type="http://schemas.openxmlformats.org/officeDocument/2006/relationships/hyperlink" Target="https://raw.githubusercontent.com/tapas-opendata/decreet-835-mun/master/budget/debt-register/Structure.json" TargetMode="External"/><Relationship Id="rId5" Type="http://schemas.openxmlformats.org/officeDocument/2006/relationships/styles" Target="styles.xml"/><Relationship Id="rId6" Type="http://schemas.openxmlformats.org/officeDocument/2006/relationships/hyperlink" Target="https://zakon.rada.gov.ua/laws/show/996-14" TargetMode="External"/><Relationship Id="rId18" Type="http://schemas.openxmlformats.org/officeDocument/2006/relationships/hyperlink" Target="https://zakon.rada.gov.ua/rada/show/v0416832-14/conv" TargetMode="External"/><Relationship Id="rId7" Type="http://schemas.openxmlformats.org/officeDocument/2006/relationships/hyperlink" Target="https://zakon.rada.gov.ua/laws/show/z0336-13" TargetMode="External"/><Relationship Id="rId8" Type="http://schemas.openxmlformats.org/officeDocument/2006/relationships/hyperlink" Target="https://zakon.rada.gov.ua/laws/show/99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