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tpc1vzjxodgg" w:id="0"/>
      <w:bookmarkEnd w:id="0"/>
      <w:r w:rsidDel="00000000" w:rsidR="00000000" w:rsidRPr="00000000">
        <w:rPr>
          <w:rtl w:val="0"/>
        </w:rPr>
        <w:t xml:space="preserve">Перелік розпорядників бюджетних коштів</w:t>
      </w:r>
    </w:p>
    <w:p w:rsidR="00000000" w:rsidDel="00000000" w:rsidP="00000000" w:rsidRDefault="00000000" w:rsidRPr="00000000" w14:paraId="00000002">
      <w:pPr>
        <w:pStyle w:val="Heading1"/>
        <w:rPr/>
      </w:pPr>
      <w:bookmarkStart w:colFirst="0" w:colLast="0" w:name="_sbh2n629xkic" w:id="1"/>
      <w:bookmarkEnd w:id="1"/>
      <w:r w:rsidDel="00000000" w:rsidR="00000000" w:rsidRPr="00000000">
        <w:rPr>
          <w:rtl w:val="0"/>
        </w:rPr>
        <w:t xml:space="preserve">1. Коротка довідка</w:t>
      </w:r>
    </w:p>
    <w:tbl>
      <w:tblPr>
        <w:tblStyle w:val="Table1"/>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415"/>
        <w:gridCol w:w="6585"/>
        <w:tblGridChange w:id="0">
          <w:tblGrid>
            <w:gridCol w:w="2415"/>
            <w:gridCol w:w="65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rPr>
                <w:b w:val="1"/>
              </w:rPr>
            </w:pPr>
            <w:r w:rsidDel="00000000" w:rsidR="00000000" w:rsidRPr="00000000">
              <w:rPr>
                <w:b w:val="1"/>
                <w:rtl w:val="0"/>
              </w:rPr>
              <w:t xml:space="preserve">Критерій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b w:val="1"/>
              </w:rPr>
            </w:pPr>
            <w:r w:rsidDel="00000000" w:rsidR="00000000" w:rsidRPr="00000000">
              <w:rPr>
                <w:b w:val="1"/>
                <w:rtl w:val="0"/>
              </w:rPr>
              <w:t xml:space="preserve">Характеристика</w:t>
            </w:r>
          </w:p>
        </w:tc>
      </w:tr>
      <w:tr>
        <w:trPr>
          <w:trHeight w:val="1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Нормативно-правові акти, які визначають створення, збір, зберігання, використання й поширення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after="200" w:lineRule="auto"/>
              <w:rPr/>
            </w:pPr>
            <w:hyperlink r:id="rId6">
              <w:r w:rsidDel="00000000" w:rsidR="00000000" w:rsidRPr="00000000">
                <w:rPr>
                  <w:color w:val="1155cc"/>
                  <w:u w:val="single"/>
                  <w:rtl w:val="0"/>
                </w:rPr>
                <w:t xml:space="preserve">Бюджетний кодекс України</w:t>
              </w:r>
            </w:hyperlink>
            <w:r w:rsidDel="00000000" w:rsidR="00000000" w:rsidRPr="00000000">
              <w:rPr>
                <w:rtl w:val="0"/>
              </w:rPr>
              <w:t xml:space="preserve">, </w:t>
            </w:r>
            <w:hyperlink r:id="rId7">
              <w:r w:rsidDel="00000000" w:rsidR="00000000" w:rsidRPr="00000000">
                <w:rPr>
                  <w:color w:val="1155cc"/>
                  <w:u w:val="single"/>
                  <w:rtl w:val="0"/>
                </w:rPr>
                <w:t xml:space="preserve">Наказ Мінфіну України «Про затвердження Порядку казначейського обслуговування місцевих бюджетів» від 23.08.2012 № 938</w:t>
              </w:r>
            </w:hyperlink>
            <w:r w:rsidDel="00000000" w:rsidR="00000000" w:rsidRPr="00000000">
              <w:rPr>
                <w:rtl w:val="0"/>
              </w:rPr>
            </w:r>
          </w:p>
        </w:tc>
      </w:tr>
      <w:tr>
        <w:trPr>
          <w:trHeight w:val="1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Інформація, що створюється, збирається, зберігається </w:t>
            </w:r>
            <w:r w:rsidDel="00000000" w:rsidR="00000000" w:rsidRPr="00000000">
              <w:rPr>
                <w:rtl w:val="0"/>
              </w:rPr>
              <w:t xml:space="preserve">й</w:t>
            </w:r>
            <w:r w:rsidDel="00000000" w:rsidR="00000000" w:rsidRPr="00000000">
              <w:rPr>
                <w:rtl w:val="0"/>
              </w:rPr>
              <w:t xml:space="preserve"> поширюється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t xml:space="preserve">Мережа розпорядників та одержувачів бюджетних коштів формується та затверджується головними розпорядниками відповідно до форми, визначеної Наказом Мінфіну України від 23.08.2012 № 938.</w:t>
            </w:r>
          </w:p>
        </w:tc>
      </w:tr>
      <w:tr>
        <w:trPr>
          <w:trHeight w:val="2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Способи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Затвердження, внесення змін до мережі розпорядників та одержувачів бюджетних коштів</w:t>
            </w:r>
          </w:p>
        </w:tc>
      </w:tr>
      <w:tr>
        <w:trPr>
          <w:trHeight w:val="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Частота оновлення інформації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Позапланово (протягом трьох робочих днів з моменту внесення змін)</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Тип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Структуровані</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Формати файлів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CSV, XLSX, ODS, можливі інші формати структурованих даних</w:t>
            </w:r>
          </w:p>
        </w:tc>
      </w:tr>
    </w:tbl>
    <w:p w:rsidR="00000000" w:rsidDel="00000000" w:rsidP="00000000" w:rsidRDefault="00000000" w:rsidRPr="00000000" w14:paraId="00000011">
      <w:pPr>
        <w:pStyle w:val="Heading1"/>
        <w:rPr/>
      </w:pPr>
      <w:bookmarkStart w:colFirst="0" w:colLast="0" w:name="_doouq7zbfjh4" w:id="2"/>
      <w:bookmarkEnd w:id="2"/>
      <w:r w:rsidDel="00000000" w:rsidR="00000000" w:rsidRPr="00000000">
        <w:rPr>
          <w:rtl w:val="0"/>
        </w:rPr>
        <w:t xml:space="preserve">2. Огляд нормативно-правової бази</w:t>
      </w:r>
    </w:p>
    <w:p w:rsidR="00000000" w:rsidDel="00000000" w:rsidP="00000000" w:rsidRDefault="00000000" w:rsidRPr="00000000" w14:paraId="00000012">
      <w:pPr>
        <w:spacing w:after="200" w:lineRule="auto"/>
        <w:rPr/>
      </w:pPr>
      <w:r w:rsidDel="00000000" w:rsidR="00000000" w:rsidRPr="00000000">
        <w:rPr>
          <w:rtl w:val="0"/>
        </w:rPr>
        <w:t xml:space="preserve">Головні розпорядники формують мережу розпорядників та одержувачів бюджетних коштів (далі — мережа) відповідно до пункту 4 Порядку казначейського обслуговування місцевих бюджетів, що затверджений </w:t>
      </w:r>
      <w:hyperlink r:id="rId8">
        <w:r w:rsidDel="00000000" w:rsidR="00000000" w:rsidRPr="00000000">
          <w:rPr>
            <w:color w:val="1155cc"/>
            <w:u w:val="single"/>
            <w:rtl w:val="0"/>
          </w:rPr>
          <w:t xml:space="preserve">Наказом Мінфіну України від 23.08.2012 № 938</w:t>
        </w:r>
      </w:hyperlink>
      <w:r w:rsidDel="00000000" w:rsidR="00000000" w:rsidRPr="00000000">
        <w:rPr>
          <w:rtl w:val="0"/>
        </w:rPr>
        <w:t xml:space="preserve"> (далі — Порядок). Форма документа визначена додатком 4 до Порядку. Мережа затверджується та подається в органи Державної казначейської служби України до початку бюджетного періоду. Зміни до мережі вносяться за формою Реєстру змін, що затверджений додатком 5 до Порядку.</w:t>
      </w:r>
    </w:p>
    <w:p w:rsidR="00000000" w:rsidDel="00000000" w:rsidP="00000000" w:rsidRDefault="00000000" w:rsidRPr="00000000" w14:paraId="00000013">
      <w:pPr>
        <w:spacing w:after="200" w:lineRule="auto"/>
        <w:rPr/>
      </w:pPr>
      <w:r w:rsidDel="00000000" w:rsidR="00000000" w:rsidRPr="00000000">
        <w:rPr>
          <w:rtl w:val="0"/>
        </w:rPr>
        <w:t xml:space="preserve">Відповідно до пункту 4.4. Порядку мережа формується на основі інформації з </w:t>
      </w:r>
      <w:hyperlink r:id="rId9">
        <w:r w:rsidDel="00000000" w:rsidR="00000000" w:rsidRPr="00000000">
          <w:rPr>
            <w:color w:val="1155cc"/>
            <w:u w:val="single"/>
            <w:rtl w:val="0"/>
          </w:rPr>
          <w:t xml:space="preserve">Єдиного реєстру розпорядників бюджетних коштів та одержувачів бюджетних коштів</w:t>
        </w:r>
      </w:hyperlink>
      <w:r w:rsidDel="00000000" w:rsidR="00000000" w:rsidRPr="00000000">
        <w:rPr>
          <w:rtl w:val="0"/>
        </w:rPr>
        <w:t xml:space="preserve"> (порядок ведення затверджений </w:t>
      </w:r>
      <w:hyperlink r:id="rId10">
        <w:r w:rsidDel="00000000" w:rsidR="00000000" w:rsidRPr="00000000">
          <w:rPr>
            <w:color w:val="1155cc"/>
            <w:u w:val="single"/>
            <w:rtl w:val="0"/>
          </w:rPr>
          <w:t xml:space="preserve">Наказом Мінфіну України від 22.12.2011 № 1691</w:t>
        </w:r>
      </w:hyperlink>
      <w:r w:rsidDel="00000000" w:rsidR="00000000" w:rsidRPr="00000000">
        <w:rPr>
          <w:rtl w:val="0"/>
        </w:rPr>
        <w:t xml:space="preserve">). Таким чином, відбувається часткове дублювання даних. У свою чергу, дані Єдиного реєстру не містять відомостей про належність розпорядників та одержувачів до тієї чи іншої мережі.</w:t>
      </w:r>
    </w:p>
    <w:p w:rsidR="00000000" w:rsidDel="00000000" w:rsidP="00000000" w:rsidRDefault="00000000" w:rsidRPr="00000000" w14:paraId="00000014">
      <w:pPr>
        <w:pStyle w:val="Heading1"/>
        <w:rPr/>
      </w:pPr>
      <w:bookmarkStart w:colFirst="0" w:colLast="0" w:name="_3bilb21ck0xe" w:id="3"/>
      <w:bookmarkEnd w:id="3"/>
      <w:r w:rsidDel="00000000" w:rsidR="00000000" w:rsidRPr="00000000">
        <w:rPr>
          <w:rtl w:val="0"/>
        </w:rPr>
        <w:t xml:space="preserve">3. Підготовка даних та структура набору</w:t>
      </w:r>
    </w:p>
    <w:p w:rsidR="00000000" w:rsidDel="00000000" w:rsidP="00000000" w:rsidRDefault="00000000" w:rsidRPr="00000000" w14:paraId="00000015">
      <w:pPr>
        <w:spacing w:after="200" w:lineRule="auto"/>
        <w:rPr/>
      </w:pPr>
      <w:r w:rsidDel="00000000" w:rsidR="00000000" w:rsidRPr="00000000">
        <w:rPr>
          <w:rtl w:val="0"/>
        </w:rPr>
        <w:t xml:space="preserve">Органи місцевого самоврядування використовують декілька видів програмного забезпечення для ведення бюджетів, зокрема, </w:t>
      </w:r>
      <w:hyperlink r:id="rId11">
        <w:r w:rsidDel="00000000" w:rsidR="00000000" w:rsidRPr="00000000">
          <w:rPr>
            <w:color w:val="1155cc"/>
            <w:u w:val="single"/>
            <w:rtl w:val="0"/>
          </w:rPr>
          <w:t xml:space="preserve">AIC “Місцеві бюджети”</w:t>
        </w:r>
      </w:hyperlink>
      <w:r w:rsidDel="00000000" w:rsidR="00000000" w:rsidRPr="00000000">
        <w:rPr>
          <w:rtl w:val="0"/>
        </w:rPr>
        <w:t xml:space="preserve">, </w:t>
      </w:r>
      <w:hyperlink r:id="rId12">
        <w:r w:rsidDel="00000000" w:rsidR="00000000" w:rsidRPr="00000000">
          <w:rPr>
            <w:color w:val="1155cc"/>
            <w:u w:val="single"/>
            <w:rtl w:val="0"/>
          </w:rPr>
          <w:t xml:space="preserve">ІПК “Місцевий бюджет”</w:t>
        </w:r>
      </w:hyperlink>
      <w:r w:rsidDel="00000000" w:rsidR="00000000" w:rsidRPr="00000000">
        <w:rPr>
          <w:rtl w:val="0"/>
        </w:rPr>
        <w:t xml:space="preserve">, </w:t>
      </w:r>
      <w:hyperlink r:id="rId13">
        <w:r w:rsidDel="00000000" w:rsidR="00000000" w:rsidRPr="00000000">
          <w:rPr>
            <w:color w:val="1155cc"/>
            <w:u w:val="single"/>
            <w:rtl w:val="0"/>
          </w:rPr>
          <w:t xml:space="preserve">Єдина інформаційна система управління бюджетом</w:t>
        </w:r>
      </w:hyperlink>
      <w:r w:rsidDel="00000000" w:rsidR="00000000" w:rsidRPr="00000000">
        <w:rPr>
          <w:rtl w:val="0"/>
        </w:rPr>
        <w:t xml:space="preserve"> тощо. Відомості про мережу також формуються в програмному забезпеченні </w:t>
      </w:r>
      <w:hyperlink r:id="rId14">
        <w:r w:rsidDel="00000000" w:rsidR="00000000" w:rsidRPr="00000000">
          <w:rPr>
            <w:color w:val="1155cc"/>
            <w:u w:val="single"/>
            <w:rtl w:val="0"/>
          </w:rPr>
          <w:t xml:space="preserve">«Формування мережі підвідомчих установ та організацій, які отримують кошти з бюджету»</w:t>
        </w:r>
      </w:hyperlink>
      <w:r w:rsidDel="00000000" w:rsidR="00000000" w:rsidRPr="00000000">
        <w:rPr>
          <w:rtl w:val="0"/>
        </w:rPr>
        <w:t xml:space="preserve"> (Meregam).</w:t>
      </w:r>
    </w:p>
    <w:p w:rsidR="00000000" w:rsidDel="00000000" w:rsidP="00000000" w:rsidRDefault="00000000" w:rsidRPr="00000000" w14:paraId="00000016">
      <w:pPr>
        <w:spacing w:after="200" w:lineRule="auto"/>
        <w:rPr/>
      </w:pPr>
      <w:r w:rsidDel="00000000" w:rsidR="00000000" w:rsidRPr="00000000">
        <w:rPr>
          <w:rtl w:val="0"/>
        </w:rPr>
        <w:t xml:space="preserve">Для оприлюднення набору необхідно експортувати дані у форматах електронних таблиць (XLS, XLSX). Таблицю варто </w:t>
      </w:r>
      <w:r w:rsidDel="00000000" w:rsidR="00000000" w:rsidRPr="00000000">
        <w:rPr>
          <w:rtl w:val="0"/>
        </w:rPr>
        <w:t xml:space="preserve">привести</w:t>
      </w:r>
      <w:r w:rsidDel="00000000" w:rsidR="00000000" w:rsidRPr="00000000">
        <w:rPr>
          <w:rtl w:val="0"/>
        </w:rPr>
        <w:t xml:space="preserve"> до машиночитаної форми: видалити заголовок та інші реквізити, назви колонок подати відповідно до структури, що наведена у Таблиці 1.</w:t>
      </w:r>
    </w:p>
    <w:p w:rsidR="00000000" w:rsidDel="00000000" w:rsidP="00000000" w:rsidRDefault="00000000" w:rsidRPr="00000000" w14:paraId="00000017">
      <w:pPr>
        <w:spacing w:after="200" w:lineRule="auto"/>
        <w:rPr/>
      </w:pPr>
      <w:r w:rsidDel="00000000" w:rsidR="00000000" w:rsidRPr="00000000">
        <w:rPr>
          <w:rtl w:val="0"/>
        </w:rPr>
        <w:t xml:space="preserve">Кожним ресурсом в наборі є мережа розпорядників та одержувачів бюджетних коштів на певний бюджетний період.</w:t>
      </w:r>
    </w:p>
    <w:tbl>
      <w:tblPr>
        <w:tblStyle w:val="Table2"/>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885"/>
        <w:gridCol w:w="5115"/>
        <w:tblGridChange w:id="0">
          <w:tblGrid>
            <w:gridCol w:w="3885"/>
            <w:gridCol w:w="511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Інформація про ресурс</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rPr/>
            </w:pPr>
            <w:r w:rsidDel="00000000" w:rsidR="00000000" w:rsidRPr="00000000">
              <w:rPr>
                <w:rtl w:val="0"/>
              </w:rPr>
              <w:t xml:space="preserve">Назва ресурсу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Disposers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pPr>
            <w:r w:rsidDel="00000000" w:rsidR="00000000" w:rsidRPr="00000000">
              <w:rPr>
                <w:rtl w:val="0"/>
              </w:rPr>
              <w:t xml:space="preserve">Що є одним записом в таблиці (рядком)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rPr/>
            </w:pPr>
            <w:r w:rsidDel="00000000" w:rsidR="00000000" w:rsidRPr="00000000">
              <w:rPr>
                <w:rtl w:val="0"/>
              </w:rPr>
              <w:t xml:space="preserve">Один розпорядник або одержувач бюджетних коштів</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rPr/>
            </w:pPr>
            <w:r w:rsidDel="00000000" w:rsidR="00000000" w:rsidRPr="00000000">
              <w:rPr>
                <w:rtl w:val="0"/>
              </w:rPr>
              <w:t xml:space="preserve">Спосіб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rPr/>
            </w:pPr>
            <w:r w:rsidDel="00000000" w:rsidR="00000000" w:rsidRPr="00000000">
              <w:rPr>
                <w:rtl w:val="0"/>
              </w:rPr>
              <w:t xml:space="preserve">Створення нового ресурсу для кожного бюджетного періоду (року)</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b w:val="1"/>
              </w:rPr>
            </w:pPr>
            <w:r w:rsidDel="00000000" w:rsidR="00000000" w:rsidRPr="00000000">
              <w:rPr>
                <w:b w:val="1"/>
                <w:rtl w:val="0"/>
              </w:rPr>
              <w:t xml:space="preserve">Прикріплені файли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Шаблон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pPr>
            <w:hyperlink r:id="rId15">
              <w:r w:rsidDel="00000000" w:rsidR="00000000" w:rsidRPr="00000000">
                <w:rPr>
                  <w:color w:val="1155cc"/>
                  <w:u w:val="single"/>
                  <w:rtl w:val="0"/>
                </w:rPr>
                <w:t xml:space="preserve">Disposers.xlsx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rPr/>
            </w:pPr>
            <w:r w:rsidDel="00000000" w:rsidR="00000000" w:rsidRPr="00000000">
              <w:rPr>
                <w:rtl w:val="0"/>
              </w:rPr>
              <w:t xml:space="preserve">Приклад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rPr/>
            </w:pPr>
            <w:hyperlink r:id="rId16">
              <w:r w:rsidDel="00000000" w:rsidR="00000000" w:rsidRPr="00000000">
                <w:rPr>
                  <w:color w:val="1155cc"/>
                  <w:u w:val="single"/>
                  <w:rtl w:val="0"/>
                </w:rPr>
                <w:t xml:space="preserve">Example</w:t>
              </w:r>
            </w:hyperlink>
            <w:hyperlink r:id="rId17">
              <w:r w:rsidDel="00000000" w:rsidR="00000000" w:rsidRPr="00000000">
                <w:rPr>
                  <w:color w:val="1155cc"/>
                  <w:u w:val="single"/>
                  <w:rtl w:val="0"/>
                </w:rPr>
                <w:t xml:space="preserve">.xlsx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rPr/>
            </w:pPr>
            <w:r w:rsidDel="00000000" w:rsidR="00000000" w:rsidRPr="00000000">
              <w:rPr>
                <w:rtl w:val="0"/>
              </w:rPr>
              <w:t xml:space="preserve">Структура (XLSX, CSV, 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rPr/>
            </w:pPr>
            <w:hyperlink r:id="rId18">
              <w:r w:rsidDel="00000000" w:rsidR="00000000" w:rsidRPr="00000000">
                <w:rPr>
                  <w:color w:val="1155cc"/>
                  <w:u w:val="single"/>
                  <w:rtl w:val="0"/>
                </w:rPr>
                <w:t xml:space="preserve">Structure.xlsx</w:t>
              </w:r>
            </w:hyperlink>
            <w:r w:rsidDel="00000000" w:rsidR="00000000" w:rsidRPr="00000000">
              <w:rPr>
                <w:rtl w:val="0"/>
              </w:rPr>
              <w:t xml:space="preserve">, </w:t>
            </w:r>
            <w:hyperlink r:id="rId19">
              <w:r w:rsidDel="00000000" w:rsidR="00000000" w:rsidRPr="00000000">
                <w:rPr>
                  <w:color w:val="1155cc"/>
                  <w:u w:val="single"/>
                  <w:rtl w:val="0"/>
                </w:rPr>
                <w:t xml:space="preserve">Structure.csv</w:t>
              </w:r>
            </w:hyperlink>
            <w:r w:rsidDel="00000000" w:rsidR="00000000" w:rsidRPr="00000000">
              <w:rPr>
                <w:rtl w:val="0"/>
              </w:rPr>
              <w:t xml:space="preserve">, </w:t>
            </w:r>
            <w:hyperlink r:id="rId20">
              <w:r w:rsidDel="00000000" w:rsidR="00000000" w:rsidRPr="00000000">
                <w:rPr>
                  <w:color w:val="1155cc"/>
                  <w:u w:val="single"/>
                  <w:rtl w:val="0"/>
                </w:rPr>
                <w:t xml:space="preserve">Structure.json</w:t>
              </w:r>
            </w:hyperlink>
            <w:r w:rsidDel="00000000" w:rsidR="00000000" w:rsidRPr="00000000">
              <w:rPr>
                <w:rtl w:val="0"/>
              </w:rPr>
            </w:r>
          </w:p>
        </w:tc>
      </w:tr>
    </w:tbl>
    <w:p w:rsidR="00000000" w:rsidDel="00000000" w:rsidP="00000000" w:rsidRDefault="00000000" w:rsidRPr="00000000" w14:paraId="00000028">
      <w:pPr>
        <w:spacing w:line="276" w:lineRule="auto"/>
        <w:jc w:val="both"/>
        <w:rPr/>
      </w:pPr>
      <w:r w:rsidDel="00000000" w:rsidR="00000000" w:rsidRPr="00000000">
        <w:rPr>
          <w:rtl w:val="0"/>
        </w:rPr>
      </w:r>
    </w:p>
    <w:tbl>
      <w:tblPr>
        <w:tblStyle w:val="Table3"/>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b w:val="1"/>
                <w:rtl w:val="0"/>
              </w:rPr>
              <w:t xml:space="preserve">Зверніть увагу!</w:t>
            </w:r>
            <w:r w:rsidDel="00000000" w:rsidR="00000000" w:rsidRPr="00000000">
              <w:rPr>
                <w:rtl w:val="0"/>
              </w:rPr>
              <w:t xml:space="preserve"> Набір необхідно готувати й вести в електронних таблицях Microsoft Excel, LibreOffice Calc або Google Таблицях. Для оприлюднення набору використовуються формати XLSX, ODS, CSV. На портал достатньо завантажити XLSX або ODS книгу, що містить один аркуш. За таких умов ресурс потрапить у базу даних порталу (сховище даних) і його CSV-версія </w:t>
            </w:r>
            <w:r w:rsidDel="00000000" w:rsidR="00000000" w:rsidRPr="00000000">
              <w:rPr>
                <w:rtl w:val="0"/>
              </w:rPr>
              <w:t xml:space="preserve">згенерується</w:t>
            </w:r>
            <w:r w:rsidDel="00000000" w:rsidR="00000000" w:rsidRPr="00000000">
              <w:rPr>
                <w:rtl w:val="0"/>
              </w:rPr>
              <w:t xml:space="preserve"> автоматично. Також дані будуть доступними в форматі JSON через </w:t>
            </w:r>
            <w:hyperlink r:id="rId21">
              <w:r w:rsidDel="00000000" w:rsidR="00000000" w:rsidRPr="00000000">
                <w:rPr>
                  <w:color w:val="1155cc"/>
                  <w:u w:val="single"/>
                  <w:rtl w:val="0"/>
                </w:rPr>
                <w:t xml:space="preserve">API порталу</w:t>
              </w:r>
            </w:hyperlink>
            <w:r w:rsidDel="00000000" w:rsidR="00000000" w:rsidRPr="00000000">
              <w:rPr>
                <w:rtl w:val="0"/>
              </w:rPr>
              <w:t xml:space="preserve">.</w:t>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pacing w:after="200" w:lineRule="auto"/>
        <w:rPr/>
      </w:pPr>
      <w:r w:rsidDel="00000000" w:rsidR="00000000" w:rsidRPr="00000000">
        <w:rPr>
          <w:rtl w:val="0"/>
        </w:rPr>
        <w:tab/>
        <w:t xml:space="preserve"> </w:t>
        <w:tab/>
        <w:t xml:space="preserve"> </w:t>
        <w:tab/>
      </w:r>
      <w:r w:rsidDel="00000000" w:rsidR="00000000" w:rsidRPr="00000000">
        <w:rPr>
          <w:b w:val="1"/>
          <w:rtl w:val="0"/>
        </w:rPr>
        <w:t xml:space="preserve">Таблиця 1 — Структура таблиці (ресурсу) Disposers</w:t>
      </w:r>
      <w:r w:rsidDel="00000000" w:rsidR="00000000" w:rsidRPr="00000000">
        <w:rPr>
          <w:rtl w:val="0"/>
        </w:rPr>
      </w:r>
    </w:p>
    <w:tbl>
      <w:tblPr>
        <w:tblStyle w:val="Table4"/>
        <w:tblW w:w="9045.0" w:type="dxa"/>
        <w:jc w:val="left"/>
        <w:tblInd w:w="114.77952755905513" w:type="dxa"/>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1380"/>
        <w:gridCol w:w="1695"/>
        <w:gridCol w:w="3060"/>
        <w:gridCol w:w="1380"/>
        <w:gridCol w:w="1530"/>
        <w:tblGridChange w:id="0">
          <w:tblGrid>
            <w:gridCol w:w="1380"/>
            <w:gridCol w:w="1695"/>
            <w:gridCol w:w="3060"/>
            <w:gridCol w:w="1380"/>
            <w:gridCol w:w="1530"/>
          </w:tblGrid>
        </w:tblGridChange>
      </w:tblGrid>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C">
            <w:pPr>
              <w:widowControl w:val="0"/>
              <w:rPr/>
            </w:pPr>
            <w:r w:rsidDel="00000000" w:rsidR="00000000" w:rsidRPr="00000000">
              <w:rPr>
                <w:b w:val="1"/>
                <w:rtl w:val="0"/>
              </w:rPr>
              <w:t xml:space="preserve">Назва колонки (name)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D">
            <w:pPr>
              <w:widowControl w:val="0"/>
              <w:rPr/>
            </w:pPr>
            <w:r w:rsidDel="00000000" w:rsidR="00000000" w:rsidRPr="00000000">
              <w:rPr>
                <w:b w:val="1"/>
                <w:rtl w:val="0"/>
              </w:rPr>
              <w:t xml:space="preserve">Заголовок колонки (title)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E">
            <w:pPr>
              <w:widowControl w:val="0"/>
              <w:rPr/>
            </w:pPr>
            <w:r w:rsidDel="00000000" w:rsidR="00000000" w:rsidRPr="00000000">
              <w:rPr>
                <w:b w:val="1"/>
                <w:rtl w:val="0"/>
              </w:rPr>
              <w:t xml:space="preserve">Опис значень (description)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F">
            <w:pPr>
              <w:widowControl w:val="0"/>
              <w:rPr/>
            </w:pPr>
            <w:r w:rsidDel="00000000" w:rsidR="00000000" w:rsidRPr="00000000">
              <w:rPr>
                <w:b w:val="1"/>
                <w:rtl w:val="0"/>
              </w:rPr>
              <w:t xml:space="preserve">Тип даних (datatype)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0">
            <w:pPr>
              <w:widowControl w:val="0"/>
              <w:rPr>
                <w:b w:val="1"/>
              </w:rPr>
            </w:pPr>
            <w:r w:rsidDel="00000000" w:rsidR="00000000" w:rsidRPr="00000000">
              <w:rPr>
                <w:b w:val="1"/>
                <w:rtl w:val="0"/>
              </w:rPr>
              <w:t xml:space="preserve">Вимога заповнення (required)</w:t>
            </w:r>
          </w:p>
        </w:tc>
      </w:tr>
      <w:tr>
        <w:trPr>
          <w:trHeight w:val="8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1">
            <w:pPr>
              <w:widowControl w:val="0"/>
              <w:rPr/>
            </w:pPr>
            <w:r w:rsidDel="00000000" w:rsidR="00000000" w:rsidRPr="00000000">
              <w:rPr>
                <w:rtl w:val="0"/>
              </w:rPr>
              <w:t xml:space="preserve">identifierURDRBF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2">
            <w:pPr>
              <w:widowControl w:val="0"/>
              <w:rPr/>
            </w:pPr>
            <w:r w:rsidDel="00000000" w:rsidR="00000000" w:rsidRPr="00000000">
              <w:rPr>
                <w:rtl w:val="0"/>
              </w:rPr>
              <w:t xml:space="preserve">Код у ЄРРОБК</w:t>
            </w:r>
          </w:p>
        </w:tc>
        <w:tc>
          <w:tcPr>
            <w:tcBorders>
              <w:top w:color="cccccc" w:space="0" w:sz="8"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3">
            <w:pPr>
              <w:widowControl w:val="0"/>
              <w:rPr/>
            </w:pPr>
            <w:r w:rsidDel="00000000" w:rsidR="00000000" w:rsidRPr="00000000">
              <w:rPr>
                <w:rtl w:val="0"/>
              </w:rPr>
              <w:t xml:space="preserve">П’ятизначний код розпорядника або одержувача бюджетних коштів у Єдиному реєстрі </w:t>
            </w:r>
          </w:p>
          <w:p w:rsidR="00000000" w:rsidDel="00000000" w:rsidP="00000000" w:rsidRDefault="00000000" w:rsidRPr="00000000" w14:paraId="00000034">
            <w:pPr>
              <w:widowControl w:val="0"/>
              <w:rPr/>
            </w:pPr>
            <w:r w:rsidDel="00000000" w:rsidR="00000000" w:rsidRPr="00000000">
              <w:rPr>
                <w:rtl w:val="0"/>
              </w:rPr>
              <w:t xml:space="preserve">розпорядників та одержувачів бюджетних коштів (ЄРРОБК). Наприклад: 98765.</w:t>
            </w:r>
          </w:p>
        </w:tc>
        <w:tc>
          <w:tcPr>
            <w:tcBorders>
              <w:top w:color="cccccc" w:space="0" w:sz="8" w:val="single"/>
              <w:left w:color="cccccc" w:space="0" w:sz="6"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5">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6">
            <w:pPr>
              <w:widowControl w:val="0"/>
              <w:rPr/>
            </w:pPr>
            <w:r w:rsidDel="00000000" w:rsidR="00000000" w:rsidRPr="00000000">
              <w:rPr>
                <w:rtl w:val="0"/>
              </w:rPr>
              <w:t xml:space="preserve">Істина (true)</w:t>
            </w:r>
          </w:p>
        </w:tc>
      </w:tr>
      <w:tr>
        <w:tc>
          <w:tcPr>
            <w:tcBorders>
              <w:top w:color="cccccc" w:space="0" w:sz="6"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7">
            <w:pPr>
              <w:widowControl w:val="0"/>
              <w:rPr/>
            </w:pPr>
            <w:r w:rsidDel="00000000" w:rsidR="00000000" w:rsidRPr="00000000">
              <w:rPr>
                <w:rtl w:val="0"/>
              </w:rPr>
              <w:t xml:space="preserve">identifier</w:t>
            </w:r>
            <w:r w:rsidDel="00000000" w:rsidR="00000000" w:rsidRPr="00000000">
              <w:rPr>
                <w:rtl w:val="0"/>
              </w:rPr>
            </w:r>
          </w:p>
        </w:tc>
        <w:tc>
          <w:tcPr>
            <w:tcBorders>
              <w:top w:color="cccccc" w:space="0" w:sz="6"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8">
            <w:pPr>
              <w:widowControl w:val="0"/>
              <w:rPr/>
            </w:pPr>
            <w:r w:rsidDel="00000000" w:rsidR="00000000" w:rsidRPr="00000000">
              <w:rPr>
                <w:rtl w:val="0"/>
              </w:rPr>
              <w:t xml:space="preserve">Код ЄДРПОУ</w:t>
            </w:r>
          </w:p>
        </w:tc>
        <w:tc>
          <w:tcPr>
            <w:tcBorders>
              <w:top w:color="cccccc" w:space="0" w:sz="8"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9">
            <w:pPr>
              <w:widowControl w:val="0"/>
              <w:rPr/>
            </w:pPr>
            <w:r w:rsidDel="00000000" w:rsidR="00000000" w:rsidRPr="00000000">
              <w:rPr>
                <w:rtl w:val="0"/>
              </w:rPr>
              <w:t xml:space="preserve">Код ЄДРПОУ розпорядника або одержувача. Наприклад: 01234567.</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A">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B">
            <w:pPr>
              <w:widowControl w:val="0"/>
              <w:rPr/>
            </w:pPr>
            <w:r w:rsidDel="00000000" w:rsidR="00000000" w:rsidRPr="00000000">
              <w:rPr>
                <w:rtl w:val="0"/>
              </w:rPr>
              <w:t xml:space="preserve">Істина (true)</w:t>
            </w:r>
          </w:p>
        </w:tc>
      </w:tr>
      <w:tr>
        <w:tc>
          <w:tcPr>
            <w:tcBorders>
              <w:top w:color="cccccc" w:space="0" w:sz="8"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C">
            <w:pPr>
              <w:widowControl w:val="0"/>
              <w:rPr/>
            </w:pPr>
            <w:r w:rsidDel="00000000" w:rsidR="00000000" w:rsidRPr="00000000">
              <w:rPr>
                <w:rtl w:val="0"/>
              </w:rPr>
              <w:t xml:space="preserve">name</w:t>
            </w:r>
          </w:p>
        </w:tc>
        <w:tc>
          <w:tcPr>
            <w:tcBorders>
              <w:top w:color="cccccc" w:space="0" w:sz="8"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D">
            <w:pPr>
              <w:widowControl w:val="0"/>
              <w:rPr/>
            </w:pPr>
            <w:r w:rsidDel="00000000" w:rsidR="00000000" w:rsidRPr="00000000">
              <w:rPr>
                <w:rtl w:val="0"/>
              </w:rPr>
              <w:t xml:space="preserve">Найменування</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E">
            <w:pPr>
              <w:widowControl w:val="0"/>
              <w:rPr/>
            </w:pPr>
            <w:r w:rsidDel="00000000" w:rsidR="00000000" w:rsidRPr="00000000">
              <w:rPr>
                <w:rtl w:val="0"/>
              </w:rPr>
              <w:t xml:space="preserve">Найменування установи або організації. Наприклад: Департамент містобудування та архітектури.</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F">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0">
            <w:pPr>
              <w:widowControl w:val="0"/>
              <w:rPr/>
            </w:pPr>
            <w:r w:rsidDel="00000000" w:rsidR="00000000" w:rsidRPr="00000000">
              <w:rPr>
                <w:rtl w:val="0"/>
              </w:rPr>
              <w:t xml:space="preserve">Істина (true)</w:t>
            </w:r>
          </w:p>
        </w:tc>
      </w:tr>
      <w:tr>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1">
            <w:pPr>
              <w:widowControl w:val="0"/>
              <w:rPr/>
            </w:pPr>
            <w:r w:rsidDel="00000000" w:rsidR="00000000" w:rsidRPr="00000000">
              <w:rPr>
                <w:rtl w:val="0"/>
              </w:rPr>
              <w:t xml:space="preserve">level</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2">
            <w:pPr>
              <w:widowControl w:val="0"/>
              <w:rPr/>
            </w:pPr>
            <w:r w:rsidDel="00000000" w:rsidR="00000000" w:rsidRPr="00000000">
              <w:rPr>
                <w:rtl w:val="0"/>
              </w:rPr>
              <w:t xml:space="preserve">Рівень</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3">
            <w:pPr>
              <w:widowControl w:val="0"/>
              <w:rPr/>
            </w:pPr>
            <w:r w:rsidDel="00000000" w:rsidR="00000000" w:rsidRPr="00000000">
              <w:rPr>
                <w:rtl w:val="0"/>
              </w:rPr>
              <w:t xml:space="preserve">Рівень розпорядника або одержувача бюджетних коштів може мати одне зі значень (лише число): 1 — головний розпорядник; 2 — розпорядники нижчого рівня, що мають власну мережу; 3 — бюджетні установи, що не мають мережі; 9 — одержувачі. Наприклад: 2.</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4">
            <w:pPr>
              <w:widowControl w:val="0"/>
              <w:rPr/>
            </w:pPr>
            <w:r w:rsidDel="00000000" w:rsidR="00000000" w:rsidRPr="00000000">
              <w:rPr>
                <w:rtl w:val="0"/>
              </w:rPr>
              <w:t xml:space="preserve">Ціле число (integer)</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5">
            <w:pPr>
              <w:widowControl w:val="0"/>
              <w:rPr/>
            </w:pPr>
            <w:r w:rsidDel="00000000" w:rsidR="00000000" w:rsidRPr="00000000">
              <w:rPr>
                <w:rtl w:val="0"/>
              </w:rPr>
              <w:t xml:space="preserve">Істина (true)</w:t>
            </w:r>
          </w:p>
        </w:tc>
      </w:tr>
      <w:tr>
        <w:trPr>
          <w:trHeight w:val="120" w:hRule="atLeast"/>
        </w:trPr>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6">
            <w:pPr>
              <w:widowControl w:val="0"/>
              <w:rPr/>
            </w:pPr>
            <w:r w:rsidDel="00000000" w:rsidR="00000000" w:rsidRPr="00000000">
              <w:rPr>
                <w:rtl w:val="0"/>
              </w:rPr>
              <w:t xml:space="preserve">parentIdentifierURDRBF</w:t>
            </w:r>
            <w:r w:rsidDel="00000000" w:rsidR="00000000" w:rsidRPr="00000000">
              <w:rPr>
                <w:rtl w:val="0"/>
              </w:rPr>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7">
            <w:pPr>
              <w:widowControl w:val="0"/>
              <w:rPr/>
            </w:pPr>
            <w:r w:rsidDel="00000000" w:rsidR="00000000" w:rsidRPr="00000000">
              <w:rPr>
                <w:rtl w:val="0"/>
              </w:rPr>
              <w:t xml:space="preserve">Розпорядник вищого рівня</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8">
            <w:pPr>
              <w:widowControl w:val="0"/>
              <w:rPr/>
            </w:pPr>
            <w:r w:rsidDel="00000000" w:rsidR="00000000" w:rsidRPr="00000000">
              <w:rPr>
                <w:rtl w:val="0"/>
              </w:rPr>
              <w:t xml:space="preserve">Код розпорядника бюджетних коштів вищого рівня в Єдиному реєстрі </w:t>
            </w:r>
          </w:p>
          <w:p w:rsidR="00000000" w:rsidDel="00000000" w:rsidP="00000000" w:rsidRDefault="00000000" w:rsidRPr="00000000" w14:paraId="00000049">
            <w:pPr>
              <w:widowControl w:val="0"/>
              <w:rPr/>
            </w:pPr>
            <w:r w:rsidDel="00000000" w:rsidR="00000000" w:rsidRPr="00000000">
              <w:rPr>
                <w:rtl w:val="0"/>
              </w:rPr>
              <w:t xml:space="preserve">розпорядників та одержувачів бюджетних коштів. Наприклад: 98765.</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A">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B">
            <w:pPr>
              <w:widowControl w:val="0"/>
              <w:rPr/>
            </w:pPr>
            <w:r w:rsidDel="00000000" w:rsidR="00000000" w:rsidRPr="00000000">
              <w:rPr>
                <w:rtl w:val="0"/>
              </w:rPr>
              <w:t xml:space="preserve">Істина (true)</w:t>
            </w:r>
          </w:p>
        </w:tc>
      </w:tr>
      <w:tr>
        <w:trPr>
          <w:trHeight w:val="120" w:hRule="atLeast"/>
        </w:trPr>
        <w:tc>
          <w:tcPr>
            <w:tcBorders>
              <w:top w:color="cccccc" w:space="0" w:sz="6" w:val="single"/>
              <w:left w:color="cccccc" w:space="0" w:sz="6" w:val="single"/>
              <w:bottom w:color="cccccc" w:space="0" w:sz="6" w:val="single"/>
              <w:right w:color="cccccc" w:space="0" w:sz="6" w:val="single"/>
            </w:tcBorders>
            <w:shd w:fill="fcfcfc"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C">
            <w:pPr>
              <w:widowControl w:val="0"/>
              <w:rPr/>
            </w:pPr>
            <w:r w:rsidDel="00000000" w:rsidR="00000000" w:rsidRPr="00000000">
              <w:rPr>
                <w:rtl w:val="0"/>
              </w:rPr>
              <w:t xml:space="preserve">treasuryIdentifier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D">
            <w:pPr>
              <w:widowControl w:val="0"/>
              <w:rPr/>
            </w:pPr>
            <w:r w:rsidDel="00000000" w:rsidR="00000000" w:rsidRPr="00000000">
              <w:rPr>
                <w:rtl w:val="0"/>
              </w:rPr>
              <w:t xml:space="preserve">Ідентифікатор органу ДКСУ</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E">
            <w:pPr>
              <w:widowControl w:val="0"/>
              <w:rPr/>
            </w:pPr>
            <w:r w:rsidDel="00000000" w:rsidR="00000000" w:rsidRPr="00000000">
              <w:rPr>
                <w:rtl w:val="0"/>
              </w:rPr>
              <w:t xml:space="preserve">Код органу Державної казначейської служби України (</w:t>
            </w:r>
            <w:r w:rsidDel="00000000" w:rsidR="00000000" w:rsidRPr="00000000">
              <w:rPr>
                <w:rtl w:val="0"/>
              </w:rPr>
              <w:t xml:space="preserve">ДСКУ</w:t>
            </w:r>
            <w:r w:rsidDel="00000000" w:rsidR="00000000" w:rsidRPr="00000000">
              <w:rPr>
                <w:rtl w:val="0"/>
              </w:rPr>
              <w:t xml:space="preserve">) відповідно до класифікатора. Наприклад: 52.</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F">
            <w:pPr>
              <w:widowControl w:val="0"/>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0">
            <w:pPr>
              <w:widowControl w:val="0"/>
              <w:rPr/>
            </w:pPr>
            <w:r w:rsidDel="00000000" w:rsidR="00000000" w:rsidRPr="00000000">
              <w:rPr>
                <w:rtl w:val="0"/>
              </w:rPr>
              <w:t xml:space="preserve">Істина (true)</w:t>
            </w:r>
          </w:p>
        </w:tc>
      </w:tr>
      <w:tr>
        <w:trPr>
          <w:trHeight w:val="120" w:hRule="atLeast"/>
        </w:trPr>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1">
            <w:pPr>
              <w:widowControl w:val="0"/>
              <w:rPr/>
            </w:pPr>
            <w:r w:rsidDel="00000000" w:rsidR="00000000" w:rsidRPr="00000000">
              <w:rPr>
                <w:rtl w:val="0"/>
              </w:rPr>
              <w:t xml:space="preserve">treasuryName</w:t>
            </w:r>
            <w:r w:rsidDel="00000000" w:rsidR="00000000" w:rsidRPr="00000000">
              <w:rPr>
                <w:rtl w:val="0"/>
              </w:rPr>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2">
            <w:pPr>
              <w:widowControl w:val="0"/>
              <w:rPr/>
            </w:pPr>
            <w:r w:rsidDel="00000000" w:rsidR="00000000" w:rsidRPr="00000000">
              <w:rPr>
                <w:rtl w:val="0"/>
              </w:rPr>
              <w:t xml:space="preserve">Найменування органу ДКСУ</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3">
            <w:pPr>
              <w:widowControl w:val="0"/>
              <w:rPr/>
            </w:pPr>
            <w:r w:rsidDel="00000000" w:rsidR="00000000" w:rsidRPr="00000000">
              <w:rPr>
                <w:rtl w:val="0"/>
              </w:rPr>
              <w:t xml:space="preserve">Найменування органу Державної казначейської служби. Наприклад: УДКСУ у м. Івано-Франківську.</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4">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5">
            <w:pPr>
              <w:widowControl w:val="0"/>
              <w:rPr/>
            </w:pPr>
            <w:r w:rsidDel="00000000" w:rsidR="00000000" w:rsidRPr="00000000">
              <w:rPr>
                <w:rtl w:val="0"/>
              </w:rPr>
              <w:t xml:space="preserve">Істина (true)</w:t>
            </w:r>
          </w:p>
        </w:tc>
      </w:tr>
      <w:tr>
        <w:trPr>
          <w:trHeight w:val="120" w:hRule="atLeast"/>
        </w:trPr>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6">
            <w:pPr>
              <w:widowControl w:val="0"/>
              <w:rPr/>
            </w:pPr>
            <w:r w:rsidDel="00000000" w:rsidR="00000000" w:rsidRPr="00000000">
              <w:rPr>
                <w:rtl w:val="0"/>
              </w:rPr>
              <w:t xml:space="preserve">executantIdentifierURDRBF</w:t>
            </w:r>
            <w:r w:rsidDel="00000000" w:rsidR="00000000" w:rsidRPr="00000000">
              <w:rPr>
                <w:rtl w:val="0"/>
              </w:rPr>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7">
            <w:pPr>
              <w:widowControl w:val="0"/>
              <w:rPr/>
            </w:pPr>
            <w:r w:rsidDel="00000000" w:rsidR="00000000" w:rsidRPr="00000000">
              <w:rPr>
                <w:rtl w:val="0"/>
              </w:rPr>
              <w:t xml:space="preserve">Код відповідального виконавця</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8">
            <w:pPr>
              <w:widowControl w:val="0"/>
              <w:rPr/>
            </w:pPr>
            <w:r w:rsidDel="00000000" w:rsidR="00000000" w:rsidRPr="00000000">
              <w:rPr>
                <w:rtl w:val="0"/>
              </w:rPr>
              <w:t xml:space="preserve">Код відповідального виконавця бюджетних програм у Єдиному реєстрі </w:t>
            </w:r>
          </w:p>
          <w:p w:rsidR="00000000" w:rsidDel="00000000" w:rsidP="00000000" w:rsidRDefault="00000000" w:rsidRPr="00000000" w14:paraId="00000059">
            <w:pPr>
              <w:widowControl w:val="0"/>
              <w:rPr/>
            </w:pPr>
            <w:r w:rsidDel="00000000" w:rsidR="00000000" w:rsidRPr="00000000">
              <w:rPr>
                <w:rtl w:val="0"/>
              </w:rPr>
              <w:t xml:space="preserve">розпорядників та одержувачів бюджетних коштів. Наприклад: 98765.</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A">
            <w:pPr>
              <w:widowControl w:val="0"/>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B">
            <w:pPr>
              <w:widowControl w:val="0"/>
              <w:rPr/>
            </w:pPr>
            <w:r w:rsidDel="00000000" w:rsidR="00000000" w:rsidRPr="00000000">
              <w:rPr>
                <w:rtl w:val="0"/>
              </w:rPr>
              <w:t xml:space="preserve">Істина (true)</w:t>
            </w:r>
          </w:p>
        </w:tc>
      </w:tr>
    </w:tbl>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1"/>
        <w:rPr/>
      </w:pPr>
      <w:bookmarkStart w:colFirst="0" w:colLast="0" w:name="_ayzcnxf60j46" w:id="4"/>
      <w:bookmarkEnd w:id="4"/>
      <w:r w:rsidDel="00000000" w:rsidR="00000000" w:rsidRPr="00000000">
        <w:rPr>
          <w:rtl w:val="0"/>
        </w:rPr>
        <w:t xml:space="preserve">4. Оформлення паспортів наборів та ресурсів</w:t>
      </w:r>
    </w:p>
    <w:tbl>
      <w:tblPr>
        <w:tblStyle w:val="Table5"/>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rPr>
          <w:trHeight w:val="1160" w:hRule="atLeast"/>
        </w:trPr>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b w:val="1"/>
                <w:rtl w:val="0"/>
              </w:rPr>
              <w:t xml:space="preserve">Зверніть увагу!</w:t>
            </w:r>
            <w:r w:rsidDel="00000000" w:rsidR="00000000" w:rsidRPr="00000000">
              <w:rPr>
                <w:rtl w:val="0"/>
              </w:rPr>
              <w:t xml:space="preserve"> Назва набору має відповідати Переліку, затвердженому Постановою КМУ № 835 (зі змінами). Також вона може включати назву розпорядника або населеного пункту, з яким пов’язані дані. Це полегшує пошук набору в пошукових системах.</w:t>
            </w:r>
          </w:p>
        </w:tc>
      </w:tr>
    </w:tbl>
    <w:p w:rsidR="00000000" w:rsidDel="00000000" w:rsidP="00000000" w:rsidRDefault="00000000" w:rsidRPr="00000000" w14:paraId="0000005F">
      <w:pPr>
        <w:spacing w:after="200" w:lineRule="auto"/>
        <w:rPr/>
      </w:pPr>
      <w:r w:rsidDel="00000000" w:rsidR="00000000" w:rsidRPr="00000000">
        <w:rPr>
          <w:rtl w:val="0"/>
        </w:rPr>
      </w:r>
    </w:p>
    <w:p w:rsidR="00000000" w:rsidDel="00000000" w:rsidP="00000000" w:rsidRDefault="00000000" w:rsidRPr="00000000" w14:paraId="00000060">
      <w:pPr>
        <w:spacing w:after="200" w:lineRule="auto"/>
        <w:jc w:val="center"/>
        <w:rPr>
          <w:b w:val="1"/>
        </w:rPr>
      </w:pPr>
      <w:r w:rsidDel="00000000" w:rsidR="00000000" w:rsidRPr="00000000">
        <w:rPr>
          <w:b w:val="1"/>
          <w:rtl w:val="0"/>
        </w:rPr>
        <w:t xml:space="preserve">Таблиця 2 — Приклад паспорта набору даних на data.gov.ua</w:t>
      </w:r>
    </w:p>
    <w:tbl>
      <w:tblPr>
        <w:tblStyle w:val="Table6"/>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35"/>
        <w:gridCol w:w="6210"/>
        <w:tblGridChange w:id="0">
          <w:tblGrid>
            <w:gridCol w:w="2835"/>
            <w:gridCol w:w="6210"/>
          </w:tblGrid>
        </w:tblGridChange>
      </w:tblGrid>
      <w:tr>
        <w:trPr>
          <w:trHeight w:val="100" w:hRule="atLeast"/>
        </w:trPr>
        <w:tc>
          <w:tcPr/>
          <w:p w:rsidR="00000000" w:rsidDel="00000000" w:rsidP="00000000" w:rsidRDefault="00000000" w:rsidRPr="00000000" w14:paraId="00000061">
            <w:pPr>
              <w:widowControl w:val="0"/>
              <w:rPr>
                <w:b w:val="1"/>
              </w:rPr>
            </w:pPr>
            <w:r w:rsidDel="00000000" w:rsidR="00000000" w:rsidRPr="00000000">
              <w:rPr>
                <w:b w:val="1"/>
                <w:rtl w:val="0"/>
              </w:rPr>
              <w:t xml:space="preserve">Назва поля</w:t>
            </w:r>
          </w:p>
        </w:tc>
        <w:tc>
          <w:tcPr/>
          <w:p w:rsidR="00000000" w:rsidDel="00000000" w:rsidP="00000000" w:rsidRDefault="00000000" w:rsidRPr="00000000" w14:paraId="00000062">
            <w:pPr>
              <w:widowControl w:val="0"/>
              <w:rPr>
                <w:b w:val="1"/>
              </w:rPr>
            </w:pPr>
            <w:r w:rsidDel="00000000" w:rsidR="00000000" w:rsidRPr="00000000">
              <w:rPr>
                <w:b w:val="1"/>
                <w:rtl w:val="0"/>
              </w:rPr>
              <w:t xml:space="preserve">Приклад заповнення</w:t>
            </w:r>
          </w:p>
        </w:tc>
      </w:tr>
      <w:tr>
        <w:trPr>
          <w:trHeight w:val="180" w:hRule="atLeast"/>
        </w:trPr>
        <w:tc>
          <w:tcPr/>
          <w:p w:rsidR="00000000" w:rsidDel="00000000" w:rsidP="00000000" w:rsidRDefault="00000000" w:rsidRPr="00000000" w14:paraId="00000063">
            <w:pPr>
              <w:rPr/>
            </w:pPr>
            <w:r w:rsidDel="00000000" w:rsidR="00000000" w:rsidRPr="00000000">
              <w:rPr>
                <w:rtl w:val="0"/>
              </w:rPr>
              <w:t xml:space="preserve">Назва набору</w:t>
            </w:r>
          </w:p>
        </w:tc>
        <w:tc>
          <w:tcPr/>
          <w:p w:rsidR="00000000" w:rsidDel="00000000" w:rsidP="00000000" w:rsidRDefault="00000000" w:rsidRPr="00000000" w14:paraId="00000064">
            <w:pPr>
              <w:widowControl w:val="0"/>
              <w:rPr/>
            </w:pPr>
            <w:r w:rsidDel="00000000" w:rsidR="00000000" w:rsidRPr="00000000">
              <w:rPr>
                <w:rtl w:val="0"/>
              </w:rPr>
              <w:t xml:space="preserve">Перелік розпорядників бюджетних коштів Бориспільської міської ради</w:t>
            </w:r>
          </w:p>
        </w:tc>
      </w:tr>
      <w:tr>
        <w:trPr>
          <w:trHeight w:val="440" w:hRule="atLeast"/>
        </w:trPr>
        <w:tc>
          <w:tcPr/>
          <w:p w:rsidR="00000000" w:rsidDel="00000000" w:rsidP="00000000" w:rsidRDefault="00000000" w:rsidRPr="00000000" w14:paraId="00000065">
            <w:pPr>
              <w:rPr/>
            </w:pPr>
            <w:r w:rsidDel="00000000" w:rsidR="00000000" w:rsidRPr="00000000">
              <w:rPr>
                <w:rtl w:val="0"/>
              </w:rPr>
              <w:t xml:space="preserve">Відомості про мову інформації, яка міститься у наборі</w:t>
            </w:r>
          </w:p>
        </w:tc>
        <w:tc>
          <w:tcPr/>
          <w:p w:rsidR="00000000" w:rsidDel="00000000" w:rsidP="00000000" w:rsidRDefault="00000000" w:rsidRPr="00000000" w14:paraId="00000066">
            <w:pPr>
              <w:widowControl w:val="0"/>
              <w:rPr/>
            </w:pPr>
            <w:r w:rsidDel="00000000" w:rsidR="00000000" w:rsidRPr="00000000">
              <w:rPr>
                <w:rtl w:val="0"/>
              </w:rPr>
              <w:t xml:space="preserve">Українська</w:t>
            </w:r>
          </w:p>
        </w:tc>
      </w:tr>
      <w:tr>
        <w:trPr>
          <w:trHeight w:val="100" w:hRule="atLeast"/>
        </w:trPr>
        <w:tc>
          <w:tcPr/>
          <w:p w:rsidR="00000000" w:rsidDel="00000000" w:rsidP="00000000" w:rsidRDefault="00000000" w:rsidRPr="00000000" w14:paraId="00000067">
            <w:pPr>
              <w:rPr>
                <w:shd w:fill="fcfcfc" w:val="clear"/>
              </w:rPr>
            </w:pPr>
            <w:r w:rsidDel="00000000" w:rsidR="00000000" w:rsidRPr="00000000">
              <w:rPr>
                <w:shd w:fill="fcfcfc" w:val="clear"/>
                <w:rtl w:val="0"/>
              </w:rPr>
              <w:t xml:space="preserve">Частота оновлення</w:t>
            </w:r>
          </w:p>
        </w:tc>
        <w:tc>
          <w:tcPr/>
          <w:p w:rsidR="00000000" w:rsidDel="00000000" w:rsidP="00000000" w:rsidRDefault="00000000" w:rsidRPr="00000000" w14:paraId="00000068">
            <w:pPr>
              <w:rPr/>
            </w:pPr>
            <w:r w:rsidDel="00000000" w:rsidR="00000000" w:rsidRPr="00000000">
              <w:rPr>
                <w:rtl w:val="0"/>
              </w:rPr>
              <w:t xml:space="preserve">Відразу після внесення змін</w:t>
            </w:r>
          </w:p>
        </w:tc>
      </w:tr>
      <w:tr>
        <w:trPr>
          <w:trHeight w:val="120" w:hRule="atLeast"/>
        </w:trPr>
        <w:tc>
          <w:tcPr/>
          <w:p w:rsidR="00000000" w:rsidDel="00000000" w:rsidP="00000000" w:rsidRDefault="00000000" w:rsidRPr="00000000" w14:paraId="00000069">
            <w:pPr>
              <w:rPr/>
            </w:pPr>
            <w:r w:rsidDel="00000000" w:rsidR="00000000" w:rsidRPr="00000000">
              <w:rPr>
                <w:shd w:fill="fcfcfc" w:val="clear"/>
                <w:rtl w:val="0"/>
              </w:rPr>
              <w:t xml:space="preserve">Опис</w:t>
            </w:r>
            <w:r w:rsidDel="00000000" w:rsidR="00000000" w:rsidRPr="00000000">
              <w:rPr>
                <w:rtl w:val="0"/>
              </w:rPr>
            </w:r>
          </w:p>
        </w:tc>
        <w:tc>
          <w:tcPr>
            <w:tcMar>
              <w:top w:w="96.37795275590554" w:type="dxa"/>
              <w:left w:w="96.37795275590554" w:type="dxa"/>
              <w:bottom w:w="96.37795275590554" w:type="dxa"/>
              <w:right w:w="96.37795275590554" w:type="dxa"/>
            </w:tcMar>
          </w:tcPr>
          <w:p w:rsidR="00000000" w:rsidDel="00000000" w:rsidP="00000000" w:rsidRDefault="00000000" w:rsidRPr="00000000" w14:paraId="0000006A">
            <w:pPr>
              <w:widowControl w:val="0"/>
              <w:rPr/>
            </w:pPr>
            <w:r w:rsidDel="00000000" w:rsidR="00000000" w:rsidRPr="00000000">
              <w:rPr>
                <w:rtl w:val="0"/>
              </w:rPr>
              <w:t xml:space="preserve">Набір містить мережу розпорядників та одержувачів бюджетних коштів Бориспільської міської ради. Зокрема, ідентифікаційні дані відповідно до Єдиного реєстру розпорядників бюджетних коштів та одержувачів бюджетних коштів, а також відомості про орган Державної казначейської служби України, що проводить їх обслуговування. Кожен ресурс у наборі — мережа за певний бюджетний період.</w:t>
            </w:r>
          </w:p>
        </w:tc>
      </w:tr>
      <w:tr>
        <w:trPr>
          <w:trHeight w:val="180" w:hRule="atLeast"/>
        </w:trPr>
        <w:tc>
          <w:tcPr/>
          <w:p w:rsidR="00000000" w:rsidDel="00000000" w:rsidP="00000000" w:rsidRDefault="00000000" w:rsidRPr="00000000" w14:paraId="0000006B">
            <w:pPr>
              <w:rPr>
                <w:shd w:fill="fcfcfc" w:val="clear"/>
              </w:rPr>
            </w:pPr>
            <w:r w:rsidDel="00000000" w:rsidR="00000000" w:rsidRPr="00000000">
              <w:rPr>
                <w:shd w:fill="fcfcfc" w:val="clear"/>
                <w:rtl w:val="0"/>
              </w:rPr>
              <w:t xml:space="preserve">Підстава та призначення збору інформації</w:t>
            </w:r>
          </w:p>
        </w:tc>
        <w:tc>
          <w:tcPr/>
          <w:p w:rsidR="00000000" w:rsidDel="00000000" w:rsidP="00000000" w:rsidRDefault="00000000" w:rsidRPr="00000000" w14:paraId="0000006C">
            <w:pPr>
              <w:widowControl w:val="0"/>
              <w:rPr/>
            </w:pPr>
            <w:r w:rsidDel="00000000" w:rsidR="00000000" w:rsidRPr="00000000">
              <w:rPr>
                <w:rtl w:val="0"/>
              </w:rPr>
              <w:t xml:space="preserve">Бюджетний кодекс України, Наказ Мінфін України «Про деякі питання запровадження програмно-цільового методу складання та виконання місцевих бюджетів» від 26.08.2014 № 836</w:t>
            </w:r>
          </w:p>
        </w:tc>
      </w:tr>
      <w:tr>
        <w:trPr>
          <w:trHeight w:val="240" w:hRule="atLeast"/>
        </w:trPr>
        <w:tc>
          <w:tcPr/>
          <w:p w:rsidR="00000000" w:rsidDel="00000000" w:rsidP="00000000" w:rsidRDefault="00000000" w:rsidRPr="00000000" w14:paraId="0000006D">
            <w:pPr>
              <w:rPr>
                <w:shd w:fill="fcfcfc" w:val="clear"/>
              </w:rPr>
            </w:pPr>
            <w:r w:rsidDel="00000000" w:rsidR="00000000" w:rsidRPr="00000000">
              <w:rPr>
                <w:shd w:fill="fcfcfc" w:val="clear"/>
                <w:rtl w:val="0"/>
              </w:rPr>
              <w:t xml:space="preserve">Ключові слова</w:t>
            </w:r>
          </w:p>
        </w:tc>
        <w:tc>
          <w:tcPr/>
          <w:p w:rsidR="00000000" w:rsidDel="00000000" w:rsidP="00000000" w:rsidRDefault="00000000" w:rsidRPr="00000000" w14:paraId="0000006E">
            <w:pPr>
              <w:widowControl w:val="0"/>
              <w:rPr/>
            </w:pPr>
            <w:r w:rsidDel="00000000" w:rsidR="00000000" w:rsidRPr="00000000">
              <w:rPr>
                <w:rtl w:val="0"/>
              </w:rPr>
              <w:t xml:space="preserve">бюджет, розпорядники, одержувачі, мережа, казначейство, бюджетні кошти, відповідальний виконавець, місцевий бюджет</w:t>
            </w:r>
          </w:p>
        </w:tc>
      </w:tr>
      <w:tr>
        <w:trPr>
          <w:trHeight w:val="460" w:hRule="atLeast"/>
        </w:trPr>
        <w:tc>
          <w:tcPr/>
          <w:p w:rsidR="00000000" w:rsidDel="00000000" w:rsidP="00000000" w:rsidRDefault="00000000" w:rsidRPr="00000000" w14:paraId="0000006F">
            <w:pPr>
              <w:rPr>
                <w:shd w:fill="fcfcfc" w:val="clear"/>
              </w:rPr>
            </w:pPr>
            <w:r w:rsidDel="00000000" w:rsidR="00000000" w:rsidRPr="00000000">
              <w:rPr>
                <w:shd w:fill="fcfcfc" w:val="clear"/>
                <w:rtl w:val="0"/>
              </w:rPr>
              <w:t xml:space="preserve">Відповідальна особа</w:t>
            </w:r>
          </w:p>
        </w:tc>
        <w:tc>
          <w:tcPr/>
          <w:p w:rsidR="00000000" w:rsidDel="00000000" w:rsidP="00000000" w:rsidRDefault="00000000" w:rsidRPr="00000000" w14:paraId="00000070">
            <w:pPr>
              <w:widowControl w:val="0"/>
              <w:rPr/>
            </w:pPr>
            <w:r w:rsidDel="00000000" w:rsidR="00000000" w:rsidRPr="00000000">
              <w:rPr>
                <w:rtl w:val="0"/>
              </w:rPr>
              <w:t xml:space="preserve">Симоненко Олена Петрівна</w:t>
            </w:r>
          </w:p>
        </w:tc>
      </w:tr>
      <w:tr>
        <w:trPr>
          <w:trHeight w:val="460" w:hRule="atLeast"/>
        </w:trPr>
        <w:tc>
          <w:tcPr/>
          <w:p w:rsidR="00000000" w:rsidDel="00000000" w:rsidP="00000000" w:rsidRDefault="00000000" w:rsidRPr="00000000" w14:paraId="00000071">
            <w:pPr>
              <w:rPr>
                <w:shd w:fill="fcfcfc" w:val="clear"/>
              </w:rPr>
            </w:pPr>
            <w:r w:rsidDel="00000000" w:rsidR="00000000" w:rsidRPr="00000000">
              <w:rPr>
                <w:shd w:fill="fcfcfc" w:val="clear"/>
                <w:rtl w:val="0"/>
              </w:rPr>
              <w:t xml:space="preserve">Адреса електронної пошти відповідальної особи</w:t>
            </w:r>
          </w:p>
        </w:tc>
        <w:tc>
          <w:tcPr/>
          <w:p w:rsidR="00000000" w:rsidDel="00000000" w:rsidP="00000000" w:rsidRDefault="00000000" w:rsidRPr="00000000" w14:paraId="00000072">
            <w:pPr>
              <w:widowControl w:val="0"/>
              <w:rPr/>
            </w:pPr>
            <w:r w:rsidDel="00000000" w:rsidR="00000000" w:rsidRPr="00000000">
              <w:rPr>
                <w:rtl w:val="0"/>
              </w:rPr>
              <w:t xml:space="preserve">o.symonenko@example.gov.ua</w:t>
            </w:r>
          </w:p>
        </w:tc>
      </w:tr>
    </w:tbl>
    <w:p w:rsidR="00000000" w:rsidDel="00000000" w:rsidP="00000000" w:rsidRDefault="00000000" w:rsidRPr="00000000" w14:paraId="00000073">
      <w:pPr>
        <w:spacing w:after="200" w:lineRule="auto"/>
        <w:jc w:val="center"/>
        <w:rPr>
          <w:b w:val="1"/>
        </w:rPr>
      </w:pPr>
      <w:r w:rsidDel="00000000" w:rsidR="00000000" w:rsidRPr="00000000">
        <w:rPr>
          <w:rtl w:val="0"/>
        </w:rPr>
      </w:r>
    </w:p>
    <w:p w:rsidR="00000000" w:rsidDel="00000000" w:rsidP="00000000" w:rsidRDefault="00000000" w:rsidRPr="00000000" w14:paraId="00000074">
      <w:pPr>
        <w:spacing w:after="200" w:lineRule="auto"/>
        <w:jc w:val="center"/>
        <w:rPr>
          <w:b w:val="1"/>
        </w:rPr>
      </w:pPr>
      <w:r w:rsidDel="00000000" w:rsidR="00000000" w:rsidRPr="00000000">
        <w:rPr>
          <w:b w:val="1"/>
          <w:rtl w:val="0"/>
        </w:rPr>
        <w:t xml:space="preserve">Таблиця 3 — Приклад паспорта ресурсу Disposers</w:t>
      </w:r>
    </w:p>
    <w:tbl>
      <w:tblPr>
        <w:tblStyle w:val="Table7"/>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05"/>
        <w:gridCol w:w="6240"/>
        <w:tblGridChange w:id="0">
          <w:tblGrid>
            <w:gridCol w:w="2805"/>
            <w:gridCol w:w="6240"/>
          </w:tblGrid>
        </w:tblGridChange>
      </w:tblGrid>
      <w:tr>
        <w:trPr>
          <w:trHeight w:val="20" w:hRule="atLeast"/>
        </w:trPr>
        <w:tc>
          <w:tcPr/>
          <w:p w:rsidR="00000000" w:rsidDel="00000000" w:rsidP="00000000" w:rsidRDefault="00000000" w:rsidRPr="00000000" w14:paraId="00000075">
            <w:pPr>
              <w:widowControl w:val="0"/>
              <w:rPr>
                <w:b w:val="1"/>
              </w:rPr>
            </w:pPr>
            <w:r w:rsidDel="00000000" w:rsidR="00000000" w:rsidRPr="00000000">
              <w:rPr>
                <w:b w:val="1"/>
                <w:rtl w:val="0"/>
              </w:rPr>
              <w:t xml:space="preserve">Назва поля</w:t>
            </w:r>
          </w:p>
        </w:tc>
        <w:tc>
          <w:tcPr/>
          <w:p w:rsidR="00000000" w:rsidDel="00000000" w:rsidP="00000000" w:rsidRDefault="00000000" w:rsidRPr="00000000" w14:paraId="00000076">
            <w:pPr>
              <w:widowControl w:val="0"/>
              <w:rPr>
                <w:b w:val="1"/>
              </w:rPr>
            </w:pPr>
            <w:r w:rsidDel="00000000" w:rsidR="00000000" w:rsidRPr="00000000">
              <w:rPr>
                <w:b w:val="1"/>
                <w:rtl w:val="0"/>
              </w:rPr>
              <w:t xml:space="preserve">Приклад заповнення</w:t>
            </w:r>
          </w:p>
        </w:tc>
      </w:tr>
      <w:tr>
        <w:trPr>
          <w:trHeight w:val="160" w:hRule="atLeast"/>
        </w:trPr>
        <w:tc>
          <w:tcPr/>
          <w:p w:rsidR="00000000" w:rsidDel="00000000" w:rsidP="00000000" w:rsidRDefault="00000000" w:rsidRPr="00000000" w14:paraId="00000077">
            <w:pPr>
              <w:rPr/>
            </w:pPr>
            <w:r w:rsidDel="00000000" w:rsidR="00000000" w:rsidRPr="00000000">
              <w:rPr>
                <w:rtl w:val="0"/>
              </w:rPr>
              <w:t xml:space="preserve">Назва ресурсу</w:t>
            </w:r>
          </w:p>
        </w:tc>
        <w:tc>
          <w:tcPr/>
          <w:p w:rsidR="00000000" w:rsidDel="00000000" w:rsidP="00000000" w:rsidRDefault="00000000" w:rsidRPr="00000000" w14:paraId="00000078">
            <w:pPr>
              <w:rPr/>
            </w:pPr>
            <w:r w:rsidDel="00000000" w:rsidR="00000000" w:rsidRPr="00000000">
              <w:rPr>
                <w:rtl w:val="0"/>
              </w:rPr>
              <w:t xml:space="preserve">Disposers-2019.xlsx</w:t>
            </w:r>
          </w:p>
        </w:tc>
      </w:tr>
      <w:tr>
        <w:trPr>
          <w:trHeight w:val="240" w:hRule="atLeast"/>
        </w:trPr>
        <w:tc>
          <w:tcPr/>
          <w:p w:rsidR="00000000" w:rsidDel="00000000" w:rsidP="00000000" w:rsidRDefault="00000000" w:rsidRPr="00000000" w14:paraId="00000079">
            <w:pPr>
              <w:rPr/>
            </w:pPr>
            <w:r w:rsidDel="00000000" w:rsidR="00000000" w:rsidRPr="00000000">
              <w:rPr>
                <w:rtl w:val="0"/>
              </w:rPr>
              <w:t xml:space="preserve">Опис</w:t>
            </w:r>
          </w:p>
        </w:tc>
        <w:tc>
          <w:tcPr/>
          <w:p w:rsidR="00000000" w:rsidDel="00000000" w:rsidP="00000000" w:rsidRDefault="00000000" w:rsidRPr="00000000" w14:paraId="0000007A">
            <w:pPr>
              <w:widowControl w:val="0"/>
              <w:rPr/>
            </w:pPr>
            <w:r w:rsidDel="00000000" w:rsidR="00000000" w:rsidRPr="00000000">
              <w:rPr>
                <w:rtl w:val="0"/>
              </w:rPr>
              <w:t xml:space="preserve">Ресурс містить мережу розпорядників та одержувачів бюджетних коштів у 2019 році.</w:t>
            </w:r>
          </w:p>
        </w:tc>
      </w:tr>
      <w:tr>
        <w:trPr>
          <w:trHeight w:val="160" w:hRule="atLeast"/>
        </w:trPr>
        <w:tc>
          <w:tcPr/>
          <w:p w:rsidR="00000000" w:rsidDel="00000000" w:rsidP="00000000" w:rsidRDefault="00000000" w:rsidRPr="00000000" w14:paraId="0000007B">
            <w:pPr>
              <w:rPr>
                <w:shd w:fill="fcfcfc" w:val="clear"/>
              </w:rPr>
            </w:pPr>
            <w:r w:rsidDel="00000000" w:rsidR="00000000" w:rsidRPr="00000000">
              <w:rPr>
                <w:shd w:fill="fcfcfc" w:val="clear"/>
                <w:rtl w:val="0"/>
              </w:rPr>
              <w:t xml:space="preserve">Формат</w:t>
            </w:r>
          </w:p>
        </w:tc>
        <w:tc>
          <w:tcPr/>
          <w:p w:rsidR="00000000" w:rsidDel="00000000" w:rsidP="00000000" w:rsidRDefault="00000000" w:rsidRPr="00000000" w14:paraId="0000007C">
            <w:pPr>
              <w:widowControl w:val="0"/>
              <w:rPr/>
            </w:pPr>
            <w:r w:rsidDel="00000000" w:rsidR="00000000" w:rsidRPr="00000000">
              <w:rPr>
                <w:rtl w:val="0"/>
              </w:rPr>
              <w:t xml:space="preserve">XLSX</w:t>
            </w:r>
          </w:p>
        </w:tc>
      </w:tr>
    </w:tbl>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sectPr>
      <w:pgSz w:h="16838" w:w="11906"/>
      <w:pgMar w:bottom="1417.3228346456694" w:top="1417.3228346456694"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raw.githubusercontent.com/tapas-opendata/decreet-835-mun/master/budget/disposers/Structure.json" TargetMode="External"/><Relationship Id="rId11" Type="http://schemas.openxmlformats.org/officeDocument/2006/relationships/hyperlink" Target="https://gft.kiev.ua/sela.html" TargetMode="External"/><Relationship Id="rId10" Type="http://schemas.openxmlformats.org/officeDocument/2006/relationships/hyperlink" Target="https://zakon.rada.gov.ua/laws/show/z0033-12" TargetMode="External"/><Relationship Id="rId21" Type="http://schemas.openxmlformats.org/officeDocument/2006/relationships/hyperlink" Target="https://docs.ckan.org/en/latest/maintaining/datastore.html" TargetMode="External"/><Relationship Id="rId13" Type="http://schemas.openxmlformats.org/officeDocument/2006/relationships/hyperlink" Target="https://ciat.net.ua/uk/iyesub/" TargetMode="External"/><Relationship Id="rId12" Type="http://schemas.openxmlformats.org/officeDocument/2006/relationships/hyperlink" Target="https://ipkmb.org.u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reasury.gov.ua/ua/kaznachejstvo-informuye/yedinij-reyestr-rozporyadnikiv-ta-oderzhuvachiv-byudzhetnih-koshtiv" TargetMode="External"/><Relationship Id="rId15" Type="http://schemas.openxmlformats.org/officeDocument/2006/relationships/hyperlink" Target="https://github.com/tapas-opendata/decreet-835-mun/raw/master/budget/disposers/Disposers.xlsx" TargetMode="External"/><Relationship Id="rId14" Type="http://schemas.openxmlformats.org/officeDocument/2006/relationships/hyperlink" Target="https://www.treasury.gov.ua/ua/file-storage/merezha-rozporyadnikiv-ta-oderzhuvachiv-byudzhetnikh-koshtiv" TargetMode="External"/><Relationship Id="rId17" Type="http://schemas.openxmlformats.org/officeDocument/2006/relationships/hyperlink" Target="https://github.com/tapas-opendata/decreet-835-mun/raw/master/budget/disposers/Example.xlsx" TargetMode="External"/><Relationship Id="rId16" Type="http://schemas.openxmlformats.org/officeDocument/2006/relationships/hyperlink" Target="https://github.com/tapas-opendata/decreet-835-mun/raw/master/budget/disposers/Example.xlsx" TargetMode="External"/><Relationship Id="rId5" Type="http://schemas.openxmlformats.org/officeDocument/2006/relationships/styles" Target="styles.xml"/><Relationship Id="rId19" Type="http://schemas.openxmlformats.org/officeDocument/2006/relationships/hyperlink" Target="https://raw.githubusercontent.com/tapas-opendata/decreet-835-mun/master/budget/disposers/Structure.csv" TargetMode="External"/><Relationship Id="rId6" Type="http://schemas.openxmlformats.org/officeDocument/2006/relationships/hyperlink" Target="https://zakon.rada.gov.ua/laws/show/2456-17" TargetMode="External"/><Relationship Id="rId18" Type="http://schemas.openxmlformats.org/officeDocument/2006/relationships/hyperlink" Target="https://github.com/tapas-opendata/decreet-835-mun/raw/master/budget/disposers/Structure.xlsx" TargetMode="External"/><Relationship Id="rId7" Type="http://schemas.openxmlformats.org/officeDocument/2006/relationships/hyperlink" Target="https://zakon.rada.gov.ua/laws/show/z1569-12" TargetMode="External"/><Relationship Id="rId8" Type="http://schemas.openxmlformats.org/officeDocument/2006/relationships/hyperlink" Target="https://zakon.rada.gov.ua/laws/show/z1569-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