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h57934ivge7" w:id="0"/>
      <w:bookmarkEnd w:id="0"/>
      <w:r w:rsidDel="00000000" w:rsidR="00000000" w:rsidRPr="00000000">
        <w:rPr>
          <w:rtl w:val="0"/>
        </w:rPr>
        <w:t xml:space="preserve">Звіти про виконання фінансових планів комунальних підприємств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kns8w7awkp2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Мінекономрозвитку “Про затвердження Порядку складання, затвердження та контролю виконання фінансового плану суб'єкта господарювання державного сектору економіки” від 02.03.2015 № 205</w:t>
              </w:r>
            </w:hyperlink>
            <w:r w:rsidDel="00000000" w:rsidR="00000000" w:rsidRPr="00000000">
              <w:rPr>
                <w:rtl w:val="0"/>
              </w:rPr>
              <w:t xml:space="preserve">, нормативно-правові акти органів місцевого самоврядування, що регулюють питання фінансового планування комунальних підприємств.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Форма звіту визначена додатком 3 до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Порядку, затвердженого наказом МЕРТу від 02.03.2015 № 205</w:t>
              </w:r>
            </w:hyperlink>
            <w:r w:rsidDel="00000000" w:rsidR="00000000" w:rsidRPr="00000000">
              <w:rPr>
                <w:rtl w:val="0"/>
              </w:rPr>
              <w:t xml:space="preserve"> або форми звітності, що визначені місцевими нормативно-правовими актами.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Подання звіту за новий звітний період. Річний звіт подається разом зі звітом за четвертий квартал.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Щоквартально, в строки, які встановлені для подання фінансової звітності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ХLS</w:t>
            </w:r>
            <w:r w:rsidDel="00000000" w:rsidR="00000000" w:rsidRPr="00000000">
              <w:rPr>
                <w:rtl w:val="0"/>
              </w:rPr>
              <w:t xml:space="preserve">, XLSX, ODS, можливі інші формати структурованих даних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cxho21eehm2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здійснення фінансового планування комунальних підприємств органи місцевого самоврядування використовують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Наказ Мінекономрозвитку від 02.03.2015 № 205</w:t>
        </w:r>
      </w:hyperlink>
      <w:r w:rsidDel="00000000" w:rsidR="00000000" w:rsidRPr="00000000">
        <w:rPr>
          <w:rtl w:val="0"/>
        </w:rPr>
        <w:t xml:space="preserve"> або впроваджують власну нормативну базу. Наприклад,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Рішення Виконавчого комітету Хмельницької міської ради від 22.08.2019 № 708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Рішення Львівської міської ради від 22.12.2017 № 1188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oap72tgppn5r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Для оприлюднення звітів про виконання фінансових планів рекомендовано використовувати форми електронних таблиць (XLS, XLSX, ODS), що затверджені для їх подачі. Одним ресурсом набору може бути наступне: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один звіт про виконання фінансового плану;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архів даних (ZIP, 7z тощо) звітів за певний період.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Оновлення набору відбувається шляхом створення нових ресурсів. Назви ресурсів варто систематизувати за шаблоном. Вони можуть складатися з коду ЄДРПОУ підприємства й періоду звітування, що розділені знаком дефіс. Наприклад, назви ресурсів, що містять звіти підприємства з кодом ЄДРПОУ 01234567 за кожен квартал 2018 року, матимуть вигляд: 01234567-Q1-2018, 01234567-Q2-2018, 01234567-Q3-2018, 01234567-2018.</w:t>
      </w:r>
    </w:p>
    <w:p w:rsidR="00000000" w:rsidDel="00000000" w:rsidP="00000000" w:rsidRDefault="00000000" w:rsidRPr="00000000" w14:paraId="00000019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допускається публікація звітів у форматах сканованих (PDF, JPEG), текстових документів (PDF, DOC, DOCX, ODT), а також використання форматів XML або CSV для збереження електронних таблиць, що містять звіти.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adi3m3bhxmm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Звіти про виконання фінансових планів комунальних підприємств Львівської міської ради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Щокварталу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Набір містить звіти про виконання фінансових планів суб’єктів господарювання комунального сектору економіки, що підпорядковуються Львівській міській раді. Кожен ресурс у наборі — окремий звіт.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Господарський Кодекс України, Наказ Мінекономрозвитку України від 02.03.2015 № 205, Рішення Львівської міської ради від 22.12.2017 № 1188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звіти, звітність, фінансові плани, доходи, витрати, прибутки, збитки, інвестиції, кошти, коефіцієнти, капітальні інвестиції, рух грошових коштів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01234567-2018.xlsx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Ресурс містить звіт про виконання фінансового плану КП "Інформаційно-ресурсний центр" за 2018 рік.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8.city-adm.lviv.ua/pool/info/doclmr_1.nsf/6fe2c915759101d6422566a0003bb602/83badf475d61f7fcc2258202004a2c7f?OpenDocument" TargetMode="External"/><Relationship Id="rId9" Type="http://schemas.openxmlformats.org/officeDocument/2006/relationships/hyperlink" Target="https://khm.gov.ua/uk/content/vid-22082019-no-708-pro-zatverdzhennya-poryadku-skladannya-zatverdzhennya-ta-kontrolyu-za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z0300-15" TargetMode="External"/><Relationship Id="rId7" Type="http://schemas.openxmlformats.org/officeDocument/2006/relationships/hyperlink" Target="https://zakon.rada.gov.ua/laws/show/z0300-15" TargetMode="External"/><Relationship Id="rId8" Type="http://schemas.openxmlformats.org/officeDocument/2006/relationships/hyperlink" Target="https://zakon.rada.gov.ua/laws/show/z0300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