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l8a2xflcabe" w:id="0"/>
      <w:bookmarkEnd w:id="0"/>
      <w:r w:rsidDel="00000000" w:rsidR="00000000" w:rsidRPr="00000000">
        <w:rPr>
          <w:rtl w:val="0"/>
        </w:rPr>
        <w:t xml:space="preserve">Звіти про виконання паспортів бюджетних програм місцевого бюджету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sbh2n629xkic" w:id="1"/>
      <w:bookmarkEnd w:id="1"/>
      <w:r w:rsidDel="00000000" w:rsidR="00000000" w:rsidRPr="00000000">
        <w:rPr>
          <w:rtl w:val="0"/>
        </w:rPr>
        <w:t xml:space="preserve">1. Коротка довідка</w:t>
      </w:r>
    </w:p>
    <w:tbl>
      <w:tblPr>
        <w:tblStyle w:val="Table1"/>
        <w:tblW w:w="9000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415"/>
        <w:gridCol w:w="6585"/>
        <w:tblGridChange w:id="0">
          <w:tblGrid>
            <w:gridCol w:w="2415"/>
            <w:gridCol w:w="6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Характеристика</w:t>
            </w:r>
          </w:p>
        </w:tc>
      </w:tr>
      <w:tr>
        <w:trPr>
          <w:trHeight w:val="1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Нормативно-правові акти, які визначають створення, збір, зберігання, використання й поширення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0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Бюджетний кодекс України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Наказ Мінфін України «Про деякі питання запровадження програмно-цільового методу складання та виконання місцевих бюджетів» від 26.08.2014 № 836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Інформація, що створюється, збирається, зберігається </w:t>
            </w:r>
            <w:r w:rsidDel="00000000" w:rsidR="00000000" w:rsidRPr="00000000">
              <w:rPr>
                <w:rtl w:val="0"/>
              </w:rPr>
              <w:t xml:space="preserve">й</w:t>
            </w:r>
            <w:r w:rsidDel="00000000" w:rsidR="00000000" w:rsidRPr="00000000">
              <w:rPr>
                <w:rtl w:val="0"/>
              </w:rPr>
              <w:t xml:space="preserve"> поширюється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Звіти про виконання паспортів бюджетних програм складаються відповідно до Бюджетного кодексу України та Наказу Мінфіну України від 26.08.2014 № 836. Як правило, для їх формування використовується спеціалізоване програмне забезпечення.</w:t>
            </w:r>
          </w:p>
        </w:tc>
      </w:tr>
      <w:tr>
        <w:trPr>
          <w:trHeight w:val="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Способи оновлення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Складення звітів про виконання паспортів бюджетних програм.</w:t>
            </w:r>
          </w:p>
        </w:tc>
      </w:tr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Частота оновлення інформації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Щороку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Тип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Структуровані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Формати файлів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XLSX, ODS, можливі інші формати структурованих даних</w:t>
            </w:r>
          </w:p>
        </w:tc>
      </w:tr>
    </w:tbl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n0xhcvy88pvl" w:id="2"/>
      <w:bookmarkEnd w:id="2"/>
      <w:r w:rsidDel="00000000" w:rsidR="00000000" w:rsidRPr="00000000">
        <w:rPr>
          <w:rtl w:val="0"/>
        </w:rPr>
        <w:t xml:space="preserve">2. Огляд нормативно-правової бази</w:t>
      </w:r>
    </w:p>
    <w:p w:rsidR="00000000" w:rsidDel="00000000" w:rsidP="00000000" w:rsidRDefault="00000000" w:rsidRPr="00000000" w14:paraId="00000012">
      <w:pPr>
        <w:spacing w:after="200" w:lineRule="auto"/>
        <w:rPr/>
      </w:pPr>
      <w:r w:rsidDel="00000000" w:rsidR="00000000" w:rsidRPr="00000000">
        <w:rPr>
          <w:rtl w:val="0"/>
        </w:rPr>
        <w:t xml:space="preserve">Правила складання звітів про виконання паспортів бюджетних програм та їх форма затверджені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Наказом Мінфіну України від 26.08.2014 № 836</w:t>
        </w:r>
      </w:hyperlink>
      <w:r w:rsidDel="00000000" w:rsidR="00000000" w:rsidRPr="00000000">
        <w:rPr>
          <w:rtl w:val="0"/>
        </w:rPr>
        <w:t xml:space="preserve">. Р</w:t>
      </w:r>
      <w:r w:rsidDel="00000000" w:rsidR="00000000" w:rsidRPr="00000000">
        <w:rPr>
          <w:rtl w:val="0"/>
        </w:rPr>
        <w:t xml:space="preserve">озпорядники </w:t>
      </w:r>
      <w:r w:rsidDel="00000000" w:rsidR="00000000" w:rsidRPr="00000000">
        <w:rPr>
          <w:rtl w:val="0"/>
        </w:rPr>
        <w:t xml:space="preserve">мають оприлюднювати звіти протягом трьох робочих днів після подання річної бюджетної звітності (частина 5 статті 28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Бюджетного кодексу України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200" w:lineRule="auto"/>
        <w:rPr/>
      </w:pPr>
      <w:bookmarkStart w:colFirst="0" w:colLast="0" w:name="_52snartib64e" w:id="3"/>
      <w:bookmarkEnd w:id="3"/>
      <w:r w:rsidDel="00000000" w:rsidR="00000000" w:rsidRPr="00000000">
        <w:rPr>
          <w:rtl w:val="0"/>
        </w:rPr>
        <w:t xml:space="preserve">3. Підготовка даних та структура набору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Органи місцевого самоврядування використовують декілька видів програмного забезпечення для ведення бюджетів, зокрема,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AIC “Місцеві бюджети”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ІПК “Місцевий бюджет”</w:t>
        </w:r>
      </w:hyperlink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Єдина інформаційна система управління бюджетом</w:t>
        </w:r>
      </w:hyperlink>
      <w:r w:rsidDel="00000000" w:rsidR="00000000" w:rsidRPr="00000000">
        <w:rPr>
          <w:rtl w:val="0"/>
        </w:rPr>
        <w:t xml:space="preserve"> тощо</w:t>
      </w:r>
      <w:r w:rsidDel="00000000" w:rsidR="00000000" w:rsidRPr="00000000">
        <w:rPr>
          <w:rtl w:val="0"/>
        </w:rPr>
        <w:t xml:space="preserve">. Існує два основні способи оприлюднення звітів про виконання паспортів бюджетних програм: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 форматі електронних таблиць за формою затвердженою Наказом Мінфіну України від 29.12.2002 № 1098;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у відкритих машиночитаних форматах CSV, XML, JSON.</w:t>
      </w:r>
    </w:p>
    <w:p w:rsidR="00000000" w:rsidDel="00000000" w:rsidP="00000000" w:rsidRDefault="00000000" w:rsidRPr="00000000" w14:paraId="00000018">
      <w:pPr>
        <w:pStyle w:val="Heading2"/>
        <w:spacing w:after="200" w:lineRule="auto"/>
        <w:rPr/>
      </w:pPr>
      <w:bookmarkStart w:colFirst="0" w:colLast="0" w:name="_txpzpyt974p1" w:id="4"/>
      <w:bookmarkEnd w:id="4"/>
      <w:r w:rsidDel="00000000" w:rsidR="00000000" w:rsidRPr="00000000">
        <w:rPr>
          <w:rtl w:val="0"/>
        </w:rPr>
        <w:t xml:space="preserve">3.1. Оприлюднення паспортів у формі електронних таблиць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Більшість видів програмного забезпечення підтримують можливість експорту звітів у форматах XLS, XLSX, ODS за формою затвердженою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Наказом Мінфіну України від 26.08.2014 № 836</w:t>
        </w:r>
      </w:hyperlink>
      <w:r w:rsidDel="00000000" w:rsidR="00000000" w:rsidRPr="00000000">
        <w:rPr>
          <w:rtl w:val="0"/>
        </w:rPr>
        <w:t xml:space="preserve">. Усі звіти незалежно від бюджетного періоду й класифікації необхідно розміщувати в одному наборі даних. Одним ресурсом може бути наступне: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один звіт про виконання паспорта бюджетної програми;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архів даних (ZIP, 7z тощо) звітів за бюджетний період.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Необхідно дотримуватися єдиного шаблону для назв файлів та ресурсів. Якщо кожен звіт оприлюднюється окремим ресурсом, у його назві рекомендовано розміщувати наступні дані: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рік бюджетного періоду (4 цифри);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код бюджетної програми (7 цифр);</w:t>
      </w:r>
    </w:p>
    <w:p w:rsidR="00000000" w:rsidDel="00000000" w:rsidP="00000000" w:rsidRDefault="00000000" w:rsidRPr="00000000" w14:paraId="0000001F">
      <w:pPr>
        <w:spacing w:after="200" w:lineRule="auto"/>
        <w:rPr>
          <w:i w:val="1"/>
        </w:rPr>
      </w:pPr>
      <w:r w:rsidDel="00000000" w:rsidR="00000000" w:rsidRPr="00000000">
        <w:rPr>
          <w:rtl w:val="0"/>
        </w:rPr>
        <w:t xml:space="preserve">Наприклад, звіт про виконання паспорта бюджетної програми «Надання субсидій населенню для відшкодування витрат на оплату житлово-комунальних послуг» (код 0813012) на 2019 рік матиме наступну назву ресурсу: </w:t>
      </w:r>
      <w:r w:rsidDel="00000000" w:rsidR="00000000" w:rsidRPr="00000000">
        <w:rPr>
          <w:i w:val="1"/>
          <w:rtl w:val="0"/>
        </w:rPr>
        <w:t xml:space="preserve">2019-0813012.xlsx</w:t>
      </w:r>
      <w:r w:rsidDel="00000000" w:rsidR="00000000" w:rsidRPr="00000000">
        <w:rPr>
          <w:rtl w:val="0"/>
        </w:rPr>
        <w:t xml:space="preserve">. В описі ресурсів зазначається текстове розшифрування кодів (див. Таблицю 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 допускається публікація звітів у форматах сканованих (PDF, JPEG), текстових документів (PDF, DOC, DOCX, ODT), а також використання форматів XML або CSV для збереження електронних таблиць, що містять звіти.</w:t>
      </w:r>
    </w:p>
    <w:p w:rsidR="00000000" w:rsidDel="00000000" w:rsidP="00000000" w:rsidRDefault="00000000" w:rsidRPr="00000000" w14:paraId="00000021">
      <w:pPr>
        <w:pStyle w:val="Heading2"/>
        <w:spacing w:after="200" w:lineRule="auto"/>
        <w:rPr/>
      </w:pPr>
      <w:bookmarkStart w:colFirst="0" w:colLast="0" w:name="_10o6zqd1gmu" w:id="5"/>
      <w:bookmarkEnd w:id="5"/>
      <w:r w:rsidDel="00000000" w:rsidR="00000000" w:rsidRPr="00000000">
        <w:rPr>
          <w:rtl w:val="0"/>
        </w:rPr>
        <w:t xml:space="preserve">3.1. Оприлюднення паспортів у відкритих машиночитаних форматах (CSV, XML, JSON)</w:t>
      </w:r>
    </w:p>
    <w:p w:rsidR="00000000" w:rsidDel="00000000" w:rsidP="00000000" w:rsidRDefault="00000000" w:rsidRPr="00000000" w14:paraId="00000022">
      <w:pPr>
        <w:spacing w:after="200" w:lineRule="auto"/>
        <w:rPr/>
      </w:pPr>
      <w:r w:rsidDel="00000000" w:rsidR="00000000" w:rsidRPr="00000000">
        <w:rPr>
          <w:rtl w:val="0"/>
        </w:rPr>
        <w:t xml:space="preserve">Звіти про виконання паспортів бюджетних програм можна оприлюднювати завдяки експорту даних у відкритих машиночитаних форматах (CSV, XML, JSON). Можливою є також публікація набору через інтерфейс прикладного програмування (server-side web API) інформаційних систем. </w:t>
      </w:r>
      <w:r w:rsidDel="00000000" w:rsidR="00000000" w:rsidRPr="00000000">
        <w:rPr>
          <w:b w:val="1"/>
          <w:rtl w:val="0"/>
        </w:rPr>
        <w:t xml:space="preserve">Станом на кінець 2019 року більшість видів програмного забезпечення не підтримує такий функціонал.</w:t>
      </w:r>
      <w:r w:rsidDel="00000000" w:rsidR="00000000" w:rsidRPr="00000000">
        <w:rPr>
          <w:rtl w:val="0"/>
        </w:rPr>
        <w:t xml:space="preserve"> Міністерством фінансів України запланована публікація звітів на порталі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Openbudget.gov.ua</w:t>
        </w:r>
      </w:hyperlink>
      <w:r w:rsidDel="00000000" w:rsidR="00000000" w:rsidRPr="00000000">
        <w:rPr>
          <w:rtl w:val="0"/>
        </w:rPr>
        <w:t xml:space="preserve"> у 2020-му році.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ev672tl9kxg0" w:id="6"/>
      <w:bookmarkEnd w:id="6"/>
      <w:r w:rsidDel="00000000" w:rsidR="00000000" w:rsidRPr="00000000">
        <w:rPr>
          <w:rtl w:val="0"/>
        </w:rPr>
        <w:t xml:space="preserve">4. Оформлення паспортів наборів та ресурсів</w:t>
      </w:r>
    </w:p>
    <w:tbl>
      <w:tblPr>
        <w:tblStyle w:val="Table2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trHeight w:val="116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Зверніть увагу!</w:t>
            </w:r>
            <w:r w:rsidDel="00000000" w:rsidR="00000000" w:rsidRPr="00000000">
              <w:rPr>
                <w:rtl w:val="0"/>
              </w:rPr>
              <w:t xml:space="preserve"> Назва набору має відповідати Переліку, затвердженому Постановою КМУ № 835 (зі змінами). Також вона може включати назву розпорядника або населеного пункту, з яким пов’язані дані. Це полегшує пошук набору в пошукових системах.</w:t>
            </w:r>
          </w:p>
        </w:tc>
      </w:tr>
    </w:tbl>
    <w:p w:rsidR="00000000" w:rsidDel="00000000" w:rsidP="00000000" w:rsidRDefault="00000000" w:rsidRPr="00000000" w14:paraId="00000025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1 — Приклад паспорта набору даних на data.gov.ua</w:t>
      </w:r>
    </w:p>
    <w:tbl>
      <w:tblPr>
        <w:tblStyle w:val="Table3"/>
        <w:tblW w:w="9045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835"/>
        <w:gridCol w:w="6210"/>
        <w:tblGridChange w:id="0">
          <w:tblGrid>
            <w:gridCol w:w="2835"/>
            <w:gridCol w:w="6210"/>
          </w:tblGrid>
        </w:tblGridChange>
      </w:tblGrid>
      <w:tr>
        <w:trPr>
          <w:trHeight w:val="100" w:hRule="atLeast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поля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Приклад заповнення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Назва набору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Звіти про виконання паспортів бюджетних програм Маріупольської міської ради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Відомості про мову інформації, яка міститься у наборі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Українська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02D">
            <w:pPr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Частота оновлення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Щороку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shd w:fill="fcfcfc" w:val="clear"/>
                <w:rtl w:val="0"/>
              </w:rPr>
              <w:t xml:space="preserve">Опис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6.37795275590554" w:type="dxa"/>
              <w:left w:w="96.37795275590554" w:type="dxa"/>
              <w:bottom w:w="96.37795275590554" w:type="dxa"/>
              <w:right w:w="96.37795275590554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Набір містить звіти про виконання паспортів бюджетних програм Маріупольської міської ради. Кожен ресурс у наборі — архів звітів за певний рік.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31">
            <w:pPr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Підстава та призначення збору інформації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Бюджетний кодекс України, Наказ Мінфін України «Про деякі питання запровадження програмно-цільового методу складання та виконання місцевих бюджетів» від 26.08.2014 № 836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33">
            <w:pPr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Ключові слова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звіти, бюджет, паспорт, видатки, асигнування, фінансування, загальний фонд, спеціальний фонд, результативні показники, місцевий бюджет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5">
            <w:pPr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Відповідальна особа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Симоненко Олена Петрівна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7">
            <w:pPr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Адреса електронної пошти відповідальної особи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o.symonenko@example.gov.ua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20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2 — Приклад паспорта ресурсу</w:t>
      </w:r>
    </w:p>
    <w:tbl>
      <w:tblPr>
        <w:tblStyle w:val="Table4"/>
        <w:tblW w:w="9045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805"/>
        <w:gridCol w:w="6240"/>
        <w:tblGridChange w:id="0">
          <w:tblGrid>
            <w:gridCol w:w="2805"/>
            <w:gridCol w:w="6240"/>
          </w:tblGrid>
        </w:tblGridChange>
      </w:tblGrid>
      <w:tr>
        <w:trPr>
          <w:trHeight w:val="20" w:hRule="atLeast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поля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Приклад заповнення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Назва ресурсу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2019-reports.zip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Опис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Архів звітів про виконання паспортів за 2019 рік. Кожен файл в архіві — окремий звіт.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41">
            <w:pPr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Формат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XLSX</w:t>
            </w:r>
          </w:p>
        </w:tc>
      </w:tr>
    </w:tbl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pkmb.org.ua/" TargetMode="External"/><Relationship Id="rId10" Type="http://schemas.openxmlformats.org/officeDocument/2006/relationships/hyperlink" Target="https://gft.kiev.ua/sela.html" TargetMode="External"/><Relationship Id="rId13" Type="http://schemas.openxmlformats.org/officeDocument/2006/relationships/hyperlink" Target="https://zakon.rada.gov.ua/laws/show/z1103-14" TargetMode="External"/><Relationship Id="rId12" Type="http://schemas.openxmlformats.org/officeDocument/2006/relationships/hyperlink" Target="https://ciat.net.ua/uk/iyesub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zakon.rada.gov.ua/laws/show/2456-17" TargetMode="External"/><Relationship Id="rId14" Type="http://schemas.openxmlformats.org/officeDocument/2006/relationships/hyperlink" Target="https://openbudget.gov.ua/" TargetMode="External"/><Relationship Id="rId5" Type="http://schemas.openxmlformats.org/officeDocument/2006/relationships/styles" Target="styles.xml"/><Relationship Id="rId6" Type="http://schemas.openxmlformats.org/officeDocument/2006/relationships/hyperlink" Target="https://zakon.rada.gov.ua/laws/show/2456-17" TargetMode="External"/><Relationship Id="rId7" Type="http://schemas.openxmlformats.org/officeDocument/2006/relationships/hyperlink" Target="https://zakon.rada.gov.ua/laws/show/z1103-14" TargetMode="External"/><Relationship Id="rId8" Type="http://schemas.openxmlformats.org/officeDocument/2006/relationships/hyperlink" Target="https://zakon.rada.gov.ua/laws/show/z1103-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