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e3mey2tfmm1f" w:id="0"/>
      <w:bookmarkEnd w:id="0"/>
      <w:r w:rsidDel="00000000" w:rsidR="00000000" w:rsidRPr="00000000">
        <w:rPr>
          <w:rtl w:val="0"/>
        </w:rPr>
        <w:t xml:space="preserve">Дані про об'єкти та засоби торгівлі (пересувна, сезонна та інші)</w:t>
      </w:r>
    </w:p>
    <w:p w:rsidR="00000000" w:rsidDel="00000000" w:rsidP="00000000" w:rsidRDefault="00000000" w:rsidRPr="00000000" w14:paraId="00000002">
      <w:pPr>
        <w:pStyle w:val="Heading1"/>
        <w:spacing w:line="276" w:lineRule="auto"/>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180"/>
        <w:tblGridChange w:id="0">
          <w:tblGrid>
            <w:gridCol w:w="2820"/>
            <w:gridCol w:w="6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захист прав споживачів» від 12.05.1991 № 1023-XII</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забезпечення санітарного і епідеміологічного благополуччя населення» від 24.02.1994 № 4004-XII</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«Про затвердження Порядку провадження торговельної діяльності та правил торговельного обслуговування на ринку споживчих товарів» від 15.06.2006 № 833</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правил побутового обслуговування населення» від 16.05.94  № 313</w:t>
              </w:r>
            </w:hyperlink>
            <w:r w:rsidDel="00000000" w:rsidR="00000000" w:rsidRPr="00000000">
              <w:rPr>
                <w:rtl w:val="0"/>
              </w:rPr>
              <w:t xml:space="preserve">, нормативно-правові акти органів місцевого самоврядування</w:t>
            </w:r>
            <w:r w:rsidDel="00000000" w:rsidR="00000000" w:rsidRPr="00000000">
              <w:rPr>
                <w:rtl w:val="0"/>
              </w:rPr>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створюють власні переліки/реєстри об'єктів та засобів торгівлі відповідно до ухвалених нормативно-правових актів.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Інформація змінюється внаслідок включення, виключення об'єктів з переліку або актуалізації даних про 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Відповідно до статті 30 </w:t>
      </w:r>
      <w:hyperlink r:id="rId11">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органи місцевого самоврядування здійснюють контроль за розвитком торгівлі та якістю обслуговування; організовують місцеві ринки, ярмарки; встановлюють графіки роботи комунальних підприємств. Для реалізації цих повноважень упроваджується нормативна база на місцевому рівні, наприклад, </w:t>
      </w:r>
      <w:hyperlink r:id="rId12">
        <w:r w:rsidDel="00000000" w:rsidR="00000000" w:rsidRPr="00000000">
          <w:rPr>
            <w:color w:val="1155cc"/>
            <w:u w:val="single"/>
            <w:rtl w:val="0"/>
          </w:rPr>
          <w:t xml:space="preserve">Розпорядження виконавчого органу Київської міської ради (Київської міської державної адміністрації) від 19.08.2010 № 629</w:t>
        </w:r>
      </w:hyperlink>
      <w:r w:rsidDel="00000000" w:rsidR="00000000" w:rsidRPr="00000000">
        <w:rPr>
          <w:rtl w:val="0"/>
        </w:rPr>
        <w:t xml:space="preserve">, </w:t>
      </w:r>
      <w:hyperlink r:id="rId13">
        <w:r w:rsidDel="00000000" w:rsidR="00000000" w:rsidRPr="00000000">
          <w:rPr>
            <w:color w:val="1155cc"/>
            <w:u w:val="single"/>
            <w:rtl w:val="0"/>
          </w:rPr>
          <w:t xml:space="preserve">Рішенням виконкому Кіровоградської міської ради від 29 листопада 2011 року № 1167 (зі змінами)</w:t>
        </w:r>
      </w:hyperlink>
      <w:r w:rsidDel="00000000" w:rsidR="00000000" w:rsidRPr="00000000">
        <w:rPr>
          <w:rtl w:val="0"/>
        </w:rPr>
        <w:t xml:space="preserve">, </w:t>
      </w:r>
      <w:hyperlink r:id="rId14">
        <w:r w:rsidDel="00000000" w:rsidR="00000000" w:rsidRPr="00000000">
          <w:rPr>
            <w:color w:val="1155cc"/>
            <w:u w:val="single"/>
            <w:rtl w:val="0"/>
          </w:rPr>
          <w:t xml:space="preserve">Рішення Новомосковської міської ради №1339 від 28.08.2015</w:t>
        </w:r>
      </w:hyperlink>
      <w:r w:rsidDel="00000000" w:rsidR="00000000" w:rsidRPr="00000000">
        <w:rPr>
          <w:rtl w:val="0"/>
        </w:rPr>
        <w:t xml:space="preserve">.</w:t>
      </w:r>
    </w:p>
    <w:p w:rsidR="00000000" w:rsidDel="00000000" w:rsidP="00000000" w:rsidRDefault="00000000" w:rsidRPr="00000000" w14:paraId="00000013">
      <w:pPr>
        <w:pStyle w:val="Heading1"/>
        <w:spacing w:line="276" w:lineRule="auto"/>
        <w:rPr/>
      </w:pPr>
      <w:bookmarkStart w:colFirst="0" w:colLast="0" w:name="_mtidjmckvvz7"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pPr>
            <w:r w:rsidDel="00000000" w:rsidR="00000000" w:rsidRPr="00000000">
              <w:rPr>
                <w:rtl w:val="0"/>
              </w:rPr>
              <w:t xml:space="preserve">CommercialObjects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Один торговельний об'єкт. Торговельний об’єкт — це майновий комплекс, що може займати капітальну, некапітальну споруду або окреме приміщення та має приміщення для провадження торговельної діяльності (ДСТУ 4303:2004).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hyperlink r:id="rId15">
              <w:r w:rsidDel="00000000" w:rsidR="00000000" w:rsidRPr="00000000">
                <w:rPr>
                  <w:color w:val="1155cc"/>
                  <w:u w:val="single"/>
                  <w:rtl w:val="0"/>
                </w:rPr>
                <w:t xml:space="preserve">CommercialObjects</w:t>
              </w:r>
            </w:hyperlink>
            <w:hyperlink r:id="rId16">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pPr>
            <w:hyperlink r:id="rId17">
              <w:r w:rsidDel="00000000" w:rsidR="00000000" w:rsidRPr="00000000">
                <w:rPr>
                  <w:color w:val="1155cc"/>
                  <w:u w:val="single"/>
                  <w:rtl w:val="0"/>
                </w:rPr>
                <w:t xml:space="preserve">Example</w:t>
              </w:r>
            </w:hyperlink>
            <w:hyperlink r:id="rId18">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pPr>
            <w:hyperlink r:id="rId19">
              <w:r w:rsidDel="00000000" w:rsidR="00000000" w:rsidRPr="00000000">
                <w:rPr>
                  <w:color w:val="1155cc"/>
                  <w:u w:val="single"/>
                  <w:rtl w:val="0"/>
                </w:rPr>
                <w:t xml:space="preserve">Structure.xlsx</w:t>
              </w:r>
            </w:hyperlink>
            <w:r w:rsidDel="00000000" w:rsidR="00000000" w:rsidRPr="00000000">
              <w:rPr>
                <w:rtl w:val="0"/>
              </w:rPr>
              <w:t xml:space="preserve">, </w:t>
            </w:r>
            <w:hyperlink r:id="rId20">
              <w:r w:rsidDel="00000000" w:rsidR="00000000" w:rsidRPr="00000000">
                <w:rPr>
                  <w:color w:val="1155cc"/>
                  <w:u w:val="single"/>
                  <w:rtl w:val="0"/>
                </w:rPr>
                <w:t xml:space="preserve">Structure.csv</w:t>
              </w:r>
            </w:hyperlink>
            <w:r w:rsidDel="00000000" w:rsidR="00000000" w:rsidRPr="00000000">
              <w:rPr>
                <w:rtl w:val="0"/>
              </w:rPr>
              <w:t xml:space="preserve">, </w:t>
            </w:r>
            <w:hyperlink r:id="rId21">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4">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2">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6">
      <w:pPr>
        <w:spacing w:after="200" w:before="200" w:line="276" w:lineRule="auto"/>
        <w:rPr/>
      </w:pPr>
      <w:r w:rsidDel="00000000" w:rsidR="00000000" w:rsidRPr="00000000">
        <w:rPr>
          <w:rtl w:val="0"/>
        </w:rPr>
      </w:r>
    </w:p>
    <w:p w:rsidR="00000000" w:rsidDel="00000000" w:rsidP="00000000" w:rsidRDefault="00000000" w:rsidRPr="00000000" w14:paraId="00000027">
      <w:pPr>
        <w:spacing w:after="200" w:line="276" w:lineRule="auto"/>
        <w:jc w:val="center"/>
        <w:rPr/>
      </w:pPr>
      <w:r w:rsidDel="00000000" w:rsidR="00000000" w:rsidRPr="00000000">
        <w:rPr>
          <w:b w:val="1"/>
          <w:rtl w:val="0"/>
        </w:rPr>
        <w:t xml:space="preserve">Таблиця 1 — Структура таблиці </w:t>
      </w:r>
      <w:r w:rsidDel="00000000" w:rsidR="00000000" w:rsidRPr="00000000">
        <w:rPr>
          <w:b w:val="1"/>
          <w:rtl w:val="0"/>
        </w:rPr>
        <w:t xml:space="preserve">CommercialObjects</w:t>
      </w:r>
      <w:r w:rsidDel="00000000" w:rsidR="00000000" w:rsidRPr="00000000">
        <w:rPr>
          <w:rtl w:val="0"/>
        </w:rPr>
      </w:r>
    </w:p>
    <w:tbl>
      <w:tblPr>
        <w:tblStyle w:val="Table4"/>
        <w:tblW w:w="9060.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12.6771653543306"/>
        <w:gridCol w:w="2962.3228346456694"/>
        <w:gridCol w:w="1485"/>
        <w:gridCol w:w="1425"/>
        <w:tblGridChange w:id="0">
          <w:tblGrid>
            <w:gridCol w:w="1575"/>
            <w:gridCol w:w="1612.6771653543306"/>
            <w:gridCol w:w="2962.3228346456694"/>
            <w:gridCol w:w="148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widowControl w:val="0"/>
              <w:spacing w:line="276" w:lineRule="auto"/>
              <w:rPr/>
            </w:pPr>
            <w:r w:rsidDel="00000000" w:rsidR="00000000" w:rsidRPr="00000000">
              <w:rPr>
                <w:b w:val="1"/>
                <w:rtl w:val="0"/>
              </w:rPr>
              <w:t xml:space="preserve">Назва колонки в таблиці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9">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spacing w:line="276" w:lineRule="auto"/>
              <w:rPr/>
            </w:pPr>
            <w:r w:rsidDel="00000000" w:rsidR="00000000" w:rsidRPr="00000000">
              <w:rPr>
                <w:b w:val="1"/>
                <w:rtl w:val="0"/>
              </w:rPr>
              <w:t xml:space="preserve">Опис значень в колонці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rtl w:val="0"/>
              </w:rPr>
              <w:t xml:space="preserve">identifier</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rtl w:val="0"/>
              </w:rPr>
              <w:t xml:space="preserve">Ідентифікатор об’єкта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rtl w:val="0"/>
              </w:rPr>
              <w:t xml:space="preserve">Ідентифікатором об’єкта може бути будь-яка унікальна комбінація літер та чисел. Наприклад: 01234567-01.</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Назва об’єкта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Назва, що використовується для позначення об’єкта або розміщується на вивісці. Наприклад: Магазин «Продовольчі товари».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companyName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Назва суб'єкта господарювання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Повна назва суб'єкта господарювання відповідно до Єдиного державного реєстру юридичних осіб, фізичних осіб-підприємців і громадських формувань. Наприклад: ФОП Коваль Сергій Вікторович.</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companyIdentifier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Ідентифікатор суб'єкта господарювання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Код ЄДРПОУ суб'єкта господарювання. Наприклад: 01234567.</w:t>
            </w:r>
          </w:p>
          <w:p w:rsidR="00000000" w:rsidDel="00000000" w:rsidP="00000000" w:rsidRDefault="00000000" w:rsidRPr="00000000" w14:paraId="0000003F">
            <w:pPr>
              <w:widowControl w:val="0"/>
              <w:spacing w:line="276" w:lineRule="auto"/>
              <w:rPr/>
            </w:pPr>
            <w:r w:rsidDel="00000000" w:rsidR="00000000" w:rsidRPr="00000000">
              <w:rPr>
                <w:rtl w:val="0"/>
              </w:rPr>
              <w:t xml:space="preserve">У випадку ФОП, дані про РНОКПП знеособлюються.</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activity</w:t>
            </w: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Вид діяльності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Вид діяльності відповідно до Постанови КМУ від 15.06.2006 р. № 833 та ДСТУ 4303:2004. Вид може мати одне зі значень: Роздрібна торгівля; Оптова торгівля; Оптова та роздрібна торгівля; Ресторанне господарство.</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Тип об’єкта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Тип об'єкта відповідно до Довідника типів об'єктів оподаткування ДФС (</w:t>
            </w:r>
            <w:hyperlink r:id="rId23">
              <w:r w:rsidDel="00000000" w:rsidR="00000000" w:rsidRPr="00000000">
                <w:rPr>
                  <w:color w:val="1155cc"/>
                  <w:u w:val="single"/>
                  <w:rtl w:val="0"/>
                </w:rPr>
                <w:t xml:space="preserve">http://sfs.gov.ua/dovidniki--reestri--perelik/dovidniki-/127294.html</w:t>
              </w:r>
            </w:hyperlink>
            <w:r w:rsidDel="00000000" w:rsidR="00000000" w:rsidRPr="00000000">
              <w:rPr>
                <w:rtl w:val="0"/>
              </w:rPr>
              <w:t xml:space="preserve">). Наприклад: Супермаркет.</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openingHours</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Графік роботи</w:t>
            </w:r>
          </w:p>
          <w:p w:rsidR="00000000" w:rsidDel="00000000" w:rsidP="00000000" w:rsidRDefault="00000000" w:rsidRPr="00000000" w14:paraId="0000004E">
            <w:pPr>
              <w:widowControl w:val="0"/>
              <w:spacing w:line="276"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Дні тижня позначаються комбінаціями літер (Пн, Вт, Ср, Чт, Пт, Сб, Нд), години — цифрами у 24-годинному форматі (ГГ:ХХ). Для графіка з понеділка по п’ятницю, з 9:00 до 17:00 запис в таблиці матиме вигляд — Пн-Пт 09:00-17:00. Коли потрібно позначити інтервал днів (з понеділка по п’ятницю) використовується дефіс, коли окремі дні (понеділок та п’ятниця) — кома. Наприклад, графік роботи в понеділок і п’ятницю з 09:00-17:00 матиме такий вигляд: Пн,Пт 09:00-17:00. Якщо графік змінюється протягом тижня, різні режими роботи необхідно записати через кому. Наприклад: Пн-Чт 08:00-17:20, Пт 08:00-16:00.</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openingHoursDescription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Уточнення графіку роботи</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Уточнення у довільній формі щодо обідньої перерви, днів, коли графік діє та ін. Наприклад: Перерва на обід: 12:00-13:00.</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6"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widowControl w:val="0"/>
              <w:rPr/>
            </w:pPr>
            <w:r w:rsidDel="00000000" w:rsidR="00000000" w:rsidRPr="00000000">
              <w:rPr>
                <w:rtl w:val="0"/>
              </w:rPr>
              <w:t xml:space="preserve">addressPostCode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Поштовий індекс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Поштовий індекс адреси, за якою розміщений об’єкт. Наприклад: 01234.</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addressAdminUnitL1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spacing w:line="276" w:lineRule="auto"/>
              <w:rPr/>
            </w:pPr>
            <w:r w:rsidDel="00000000" w:rsidR="00000000" w:rsidRPr="00000000">
              <w:rPr>
                <w:rtl w:val="0"/>
              </w:rPr>
              <w:t xml:space="preserve">Назва країни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Країна, в якій розміщений об’єкт. У цій колонці має бути зазначено Україна.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Назва регіону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Назва регіону, де розміщений об’єкт. Наприклад: Полтавська область.</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Назва району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Назва району, де розміщений об’єкт. Наприклад: Броварський район. У разі відсутності вказати null.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Назва населеного пункту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Назва населеного пункту або назва селищної чи сільської ради, де розміщений об’єкт. У колонці потрібно зазначати лише назву (без слова «місто», «селищна рада» та їх скорочень «м.» та «с. р.»). Наприклад: Балта.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6"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4">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Номер будівлі (об’єкта) може включати числа та букви. Наприклад: 15-А.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addressDescription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Опис розміщення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Опис вказується за потреби, щоб чіткіше визначити розміщення. Зокрема, назва житлового комплексу, офісного або торгового центру; частина будівлі, наприклад, корпус, крило; приміщення в будівлі, наприклад, квартира, кабінет, офіс, зала; довільний текстовий опис, що дозволяє визначити розміщення.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authority</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Якщо орган місцевого самоврядування видає дозволи на розміщення об’єкта торгівлі, визначає графік роботи в нічний час тощо, у цій та наступних колонках вказуються інформація про дозволи. </w:t>
            </w:r>
          </w:p>
          <w:p w:rsidR="00000000" w:rsidDel="00000000" w:rsidP="00000000" w:rsidRDefault="00000000" w:rsidRPr="00000000" w14:paraId="00000087">
            <w:pPr>
              <w:widowControl w:val="0"/>
              <w:spacing w:line="276" w:lineRule="auto"/>
              <w:rPr/>
            </w:pPr>
            <w:r w:rsidDel="00000000" w:rsidR="00000000" w:rsidRPr="00000000">
              <w:rPr>
                <w:rtl w:val="0"/>
              </w:rPr>
              <w:t xml:space="preserve">Назва уповноваженого органу. Наприклад: Департамент містобудування та архітектури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authoritytIdentifier</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Код ЄДРПОУ уповноваженого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rPr/>
            </w:pPr>
            <w:r w:rsidDel="00000000" w:rsidR="00000000" w:rsidRPr="00000000">
              <w:rPr>
                <w:rtl w:val="0"/>
              </w:rPr>
              <w:t xml:space="preserve">permission</w:t>
            </w:r>
            <w:r w:rsidDel="00000000" w:rsidR="00000000" w:rsidRPr="00000000">
              <w:rPr>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rPr/>
            </w:pPr>
            <w:r w:rsidDel="00000000" w:rsidR="00000000" w:rsidRPr="00000000">
              <w:rPr>
                <w:rtl w:val="0"/>
              </w:rPr>
              <w:t xml:space="preserve">Номер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rPr/>
            </w:pPr>
            <w:r w:rsidDel="00000000" w:rsidR="00000000" w:rsidRPr="00000000">
              <w:rPr>
                <w:rtl w:val="0"/>
              </w:rPr>
              <w:t xml:space="preserve">Номер дозволу (без знаку №). Наприклад: 501.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rPr/>
            </w:pPr>
            <w:r w:rsidDel="00000000" w:rsidR="00000000" w:rsidRPr="00000000">
              <w:rPr>
                <w:rtl w:val="0"/>
              </w:rPr>
              <w:t xml:space="preserve">permission</w:t>
            </w:r>
            <w:r w:rsidDel="00000000" w:rsidR="00000000" w:rsidRPr="00000000">
              <w:rPr>
                <w:rtl w:val="0"/>
              </w:rPr>
              <w:t xml:space="preserve">Issued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rPr/>
            </w:pPr>
            <w:r w:rsidDel="00000000" w:rsidR="00000000" w:rsidRPr="00000000">
              <w:rPr>
                <w:rtl w:val="0"/>
              </w:rPr>
              <w:t xml:space="preserve">Дата прийняття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rPr/>
            </w:pPr>
            <w:r w:rsidDel="00000000" w:rsidR="00000000" w:rsidRPr="00000000">
              <w:rPr>
                <w:rtl w:val="0"/>
              </w:rPr>
              <w:t xml:space="preserve">Дата видачі дозволу у  форматі ISO 8601 (рррр-мм-дд). Наприклад: 2014-05-30.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rPr/>
            </w:pPr>
            <w:r w:rsidDel="00000000" w:rsidR="00000000" w:rsidRPr="00000000">
              <w:rPr>
                <w:rtl w:val="0"/>
              </w:rPr>
              <w:t xml:space="preserve">permissionStatus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rPr/>
            </w:pPr>
            <w:r w:rsidDel="00000000" w:rsidR="00000000" w:rsidRPr="00000000">
              <w:rPr>
                <w:rtl w:val="0"/>
              </w:rPr>
              <w:t xml:space="preserve">Статус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rPr/>
            </w:pPr>
            <w:r w:rsidDel="00000000" w:rsidR="00000000" w:rsidRPr="00000000">
              <w:rPr>
                <w:rtl w:val="0"/>
              </w:rPr>
              <w:t xml:space="preserve">Статус дозволу може мати одне зі значень: Не набув чинності, Чинний, Скасований, Втратив чинність. Наприклад: Чинний.</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rPr/>
            </w:pPr>
            <w:r w:rsidDel="00000000" w:rsidR="00000000" w:rsidRPr="00000000">
              <w:rPr>
                <w:rtl w:val="0"/>
              </w:rPr>
              <w:t xml:space="preserve">permission</w:t>
            </w:r>
            <w:r w:rsidDel="00000000" w:rsidR="00000000" w:rsidRPr="00000000">
              <w:rPr>
                <w:rtl w:val="0"/>
              </w:rPr>
              <w:t xml:space="preserve">ValidFrom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rPr/>
            </w:pPr>
            <w:r w:rsidDel="00000000" w:rsidR="00000000" w:rsidRPr="00000000">
              <w:rPr>
                <w:rtl w:val="0"/>
              </w:rPr>
              <w:t xml:space="preserve">Дійсний з</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rPr/>
            </w:pPr>
            <w:r w:rsidDel="00000000" w:rsidR="00000000" w:rsidRPr="00000000">
              <w:rPr>
                <w:rtl w:val="0"/>
              </w:rPr>
              <w:t xml:space="preserve">Дата набуття чинності дозволу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rPr/>
            </w:pPr>
            <w:r w:rsidDel="00000000" w:rsidR="00000000" w:rsidRPr="00000000">
              <w:rPr>
                <w:rtl w:val="0"/>
              </w:rPr>
              <w:t xml:space="preserve">permission</w:t>
            </w:r>
            <w:r w:rsidDel="00000000" w:rsidR="00000000" w:rsidRPr="00000000">
              <w:rPr>
                <w:rtl w:val="0"/>
              </w:rPr>
              <w:t xml:space="preserve">ValidThrough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rPr/>
            </w:pPr>
            <w:r w:rsidDel="00000000" w:rsidR="00000000" w:rsidRPr="00000000">
              <w:rPr>
                <w:rtl w:val="0"/>
              </w:rPr>
              <w:t xml:space="preserve">Дійсний до</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rPr/>
            </w:pPr>
            <w:r w:rsidDel="00000000" w:rsidR="00000000" w:rsidRPr="00000000">
              <w:rPr>
                <w:rtl w:val="0"/>
              </w:rPr>
              <w:t xml:space="preserve">Дата втрати чинності дозволу у форматі ISO 8601 (</w:t>
            </w:r>
            <w:r w:rsidDel="00000000" w:rsidR="00000000" w:rsidRPr="00000000">
              <w:rPr>
                <w:rtl w:val="0"/>
              </w:rPr>
              <w:t xml:space="preserve">рррр</w:t>
            </w:r>
            <w:r w:rsidDel="00000000" w:rsidR="00000000" w:rsidRPr="00000000">
              <w:rPr>
                <w:rtl w:val="0"/>
              </w:rPr>
              <w:t xml:space="preserve">-мм-дд). Наприклад: 2014-05-30.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rPr/>
            </w:pPr>
            <w:r w:rsidDel="00000000" w:rsidR="00000000" w:rsidRPr="00000000">
              <w:rPr>
                <w:rtl w:val="0"/>
              </w:rPr>
              <w:t xml:space="preserve">Хибність (false)</w:t>
            </w:r>
          </w:p>
        </w:tc>
      </w:tr>
    </w:tbl>
    <w:p w:rsidR="00000000" w:rsidDel="00000000" w:rsidP="00000000" w:rsidRDefault="00000000" w:rsidRPr="00000000" w14:paraId="000000A8">
      <w:pPr>
        <w:pStyle w:val="Heading1"/>
        <w:spacing w:line="276" w:lineRule="auto"/>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AA">
      <w:pPr>
        <w:spacing w:after="200" w:line="276" w:lineRule="auto"/>
        <w:rPr/>
      </w:pPr>
      <w:r w:rsidDel="00000000" w:rsidR="00000000" w:rsidRPr="00000000">
        <w:rPr>
          <w:rtl w:val="0"/>
        </w:rPr>
      </w:r>
    </w:p>
    <w:p w:rsidR="00000000" w:rsidDel="00000000" w:rsidP="00000000" w:rsidRDefault="00000000" w:rsidRPr="00000000" w14:paraId="000000AB">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225"/>
        <w:tblGridChange w:id="0">
          <w:tblGrid>
            <w:gridCol w:w="2820"/>
            <w:gridCol w:w="6225"/>
          </w:tblGrid>
        </w:tblGridChange>
      </w:tblGrid>
      <w:tr>
        <w:trPr>
          <w:trHeight w:val="100" w:hRule="atLeast"/>
        </w:trPr>
        <w:tc>
          <w:tcPr/>
          <w:p w:rsidR="00000000" w:rsidDel="00000000" w:rsidP="00000000" w:rsidRDefault="00000000" w:rsidRPr="00000000" w14:paraId="000000AC">
            <w:pPr>
              <w:widowControl w:val="0"/>
              <w:spacing w:after="0"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D">
            <w:pPr>
              <w:widowControl w:val="0"/>
              <w:spacing w:after="0" w:line="276" w:lineRule="auto"/>
              <w:rPr>
                <w:b w:val="1"/>
              </w:rPr>
            </w:pPr>
            <w:r w:rsidDel="00000000" w:rsidR="00000000" w:rsidRPr="00000000">
              <w:rPr>
                <w:b w:val="1"/>
                <w:rtl w:val="0"/>
              </w:rPr>
              <w:t xml:space="preserve">Приклад заповнення</w:t>
            </w:r>
          </w:p>
        </w:tc>
      </w:tr>
      <w:tr>
        <w:trPr>
          <w:trHeight w:val="220" w:hRule="atLeast"/>
        </w:trPr>
        <w:tc>
          <w:tcPr/>
          <w:p w:rsidR="00000000" w:rsidDel="00000000" w:rsidP="00000000" w:rsidRDefault="00000000" w:rsidRPr="00000000" w14:paraId="000000AE">
            <w:pPr>
              <w:spacing w:after="0" w:line="276" w:lineRule="auto"/>
              <w:rPr/>
            </w:pPr>
            <w:r w:rsidDel="00000000" w:rsidR="00000000" w:rsidRPr="00000000">
              <w:rPr>
                <w:rtl w:val="0"/>
              </w:rPr>
              <w:t xml:space="preserve">Назва набору</w:t>
            </w:r>
          </w:p>
        </w:tc>
        <w:tc>
          <w:tcPr/>
          <w:p w:rsidR="00000000" w:rsidDel="00000000" w:rsidP="00000000" w:rsidRDefault="00000000" w:rsidRPr="00000000" w14:paraId="000000AF">
            <w:pPr>
              <w:spacing w:after="0" w:line="276" w:lineRule="auto"/>
              <w:rPr/>
            </w:pPr>
            <w:r w:rsidDel="00000000" w:rsidR="00000000" w:rsidRPr="00000000">
              <w:rPr>
                <w:rtl w:val="0"/>
              </w:rPr>
              <w:t xml:space="preserve">Дані про об'єкти та засоби торгівлі в місті Мелітополь</w:t>
            </w:r>
          </w:p>
        </w:tc>
      </w:tr>
      <w:tr>
        <w:trPr>
          <w:trHeight w:val="520" w:hRule="atLeast"/>
        </w:trPr>
        <w:tc>
          <w:tcPr/>
          <w:p w:rsidR="00000000" w:rsidDel="00000000" w:rsidP="00000000" w:rsidRDefault="00000000" w:rsidRPr="00000000" w14:paraId="000000B0">
            <w:pPr>
              <w:spacing w:after="0"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B2">
            <w:pPr>
              <w:spacing w:after="0"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Щомісяця</w:t>
            </w:r>
          </w:p>
        </w:tc>
      </w:tr>
      <w:tr>
        <w:tc>
          <w:tcPr/>
          <w:p w:rsidR="00000000" w:rsidDel="00000000" w:rsidP="00000000" w:rsidRDefault="00000000" w:rsidRPr="00000000" w14:paraId="000000B4">
            <w:pPr>
              <w:spacing w:after="0"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Набір містить дані про найменування, розміщення, графік роботи, види й типи торговельних об’єктів, дозволи, суб’єктів господарювання, яким належать об’єкти та інше.</w:t>
            </w:r>
          </w:p>
        </w:tc>
      </w:tr>
      <w:tr>
        <w:trPr>
          <w:trHeight w:val="180" w:hRule="atLeast"/>
        </w:trPr>
        <w:tc>
          <w:tcPr/>
          <w:p w:rsidR="00000000" w:rsidDel="00000000" w:rsidP="00000000" w:rsidRDefault="00000000" w:rsidRPr="00000000" w14:paraId="000000B6">
            <w:pPr>
              <w:spacing w:after="0"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Закон України «Про місцеве самоврядування в Україні», Закон України «Про захист прав споживачів», Постанова КМУ № 833 «Про затвердження Порядку провадження торговельної діяльності та правил торговельного обслуговування на ринку споживчих товарів», Розпорядження виконавчого органу Мелітопольської міської ради «Про затвердження правил роздрібної торгівлі» від 19.08.2010 № 629</w:t>
            </w:r>
          </w:p>
        </w:tc>
      </w:tr>
      <w:tr>
        <w:trPr>
          <w:trHeight w:val="360" w:hRule="atLeast"/>
        </w:trPr>
        <w:tc>
          <w:tcPr/>
          <w:p w:rsidR="00000000" w:rsidDel="00000000" w:rsidP="00000000" w:rsidRDefault="00000000" w:rsidRPr="00000000" w14:paraId="000000B8">
            <w:pPr>
              <w:spacing w:after="0"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торгівля, товари, магазин, супермаркет, кафе, склад, рітейл, павільйон, роздрібна торгівля, гуртова торгівля, ресторанне господарство, режим роботи</w:t>
            </w:r>
          </w:p>
        </w:tc>
      </w:tr>
      <w:tr>
        <w:trPr>
          <w:trHeight w:val="460" w:hRule="atLeast"/>
        </w:trPr>
        <w:tc>
          <w:tcPr/>
          <w:p w:rsidR="00000000" w:rsidDel="00000000" w:rsidP="00000000" w:rsidRDefault="00000000" w:rsidRPr="00000000" w14:paraId="000000BA">
            <w:pPr>
              <w:spacing w:after="0"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C">
            <w:pPr>
              <w:spacing w:after="0"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o.symonenko@example.gov.ua</w:t>
            </w:r>
          </w:p>
        </w:tc>
      </w:tr>
    </w:tbl>
    <w:p w:rsidR="00000000" w:rsidDel="00000000" w:rsidP="00000000" w:rsidRDefault="00000000" w:rsidRPr="00000000" w14:paraId="000000BE">
      <w:pPr>
        <w:spacing w:after="200" w:line="276" w:lineRule="auto"/>
        <w:rPr/>
      </w:pPr>
      <w:r w:rsidDel="00000000" w:rsidR="00000000" w:rsidRPr="00000000">
        <w:rPr>
          <w:rtl w:val="0"/>
        </w:rPr>
      </w:r>
    </w:p>
    <w:p w:rsidR="00000000" w:rsidDel="00000000" w:rsidP="00000000" w:rsidRDefault="00000000" w:rsidRPr="00000000" w14:paraId="000000BF">
      <w:pPr>
        <w:spacing w:after="200" w:line="276" w:lineRule="auto"/>
        <w:jc w:val="center"/>
        <w:rPr>
          <w:b w:val="1"/>
        </w:rPr>
      </w:pPr>
      <w:r w:rsidDel="00000000" w:rsidR="00000000" w:rsidRPr="00000000">
        <w:rPr>
          <w:b w:val="1"/>
          <w:rtl w:val="0"/>
        </w:rPr>
        <w:t xml:space="preserve">Таблиця 3 — Приклад паспорта ресурсу </w:t>
      </w:r>
      <w:r w:rsidDel="00000000" w:rsidR="00000000" w:rsidRPr="00000000">
        <w:rPr>
          <w:b w:val="1"/>
          <w:rtl w:val="0"/>
        </w:rPr>
        <w:t xml:space="preserve">CommercialObjects</w:t>
      </w: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C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C1">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C2">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C3">
            <w:pPr>
              <w:spacing w:line="276" w:lineRule="auto"/>
              <w:rPr/>
            </w:pPr>
            <w:r w:rsidDel="00000000" w:rsidR="00000000" w:rsidRPr="00000000">
              <w:rPr>
                <w:rtl w:val="0"/>
              </w:rPr>
              <w:t xml:space="preserve">CommercialObjects</w:t>
            </w:r>
            <w:r w:rsidDel="00000000" w:rsidR="00000000" w:rsidRPr="00000000">
              <w:rPr>
                <w:rtl w:val="0"/>
              </w:rPr>
            </w:r>
          </w:p>
        </w:tc>
      </w:tr>
      <w:tr>
        <w:tc>
          <w:tcPr/>
          <w:p w:rsidR="00000000" w:rsidDel="00000000" w:rsidP="00000000" w:rsidRDefault="00000000" w:rsidRPr="00000000" w14:paraId="000000C4">
            <w:pPr>
              <w:spacing w:line="276" w:lineRule="auto"/>
              <w:rPr/>
            </w:pPr>
            <w:r w:rsidDel="00000000" w:rsidR="00000000" w:rsidRPr="00000000">
              <w:rPr>
                <w:rtl w:val="0"/>
              </w:rPr>
              <w:t xml:space="preserve">Опис</w:t>
            </w:r>
          </w:p>
        </w:tc>
        <w:tc>
          <w:tcPr/>
          <w:p w:rsidR="00000000" w:rsidDel="00000000" w:rsidP="00000000" w:rsidRDefault="00000000" w:rsidRPr="00000000" w14:paraId="000000C5">
            <w:pPr>
              <w:widowControl w:val="0"/>
              <w:spacing w:line="276" w:lineRule="auto"/>
              <w:rPr/>
            </w:pPr>
            <w:r w:rsidDel="00000000" w:rsidR="00000000" w:rsidRPr="00000000">
              <w:rPr>
                <w:rtl w:val="0"/>
              </w:rPr>
              <w:t xml:space="preserve">Таблиця містить ідентифікатори, назви торговельних об'єктів, відомості про суб’єктів господарювання, яким вони належать, види діяльності, типи, адреси, графік роботи, дані про дозвільні документи (реквізити, термін дії, статус). Кожним записом до таблиці є окремий торговельний об’єкт.</w:t>
            </w:r>
          </w:p>
        </w:tc>
      </w:tr>
      <w:tr>
        <w:trPr>
          <w:trHeight w:val="160" w:hRule="atLeast"/>
        </w:trPr>
        <w:tc>
          <w:tcPr/>
          <w:p w:rsidR="00000000" w:rsidDel="00000000" w:rsidP="00000000" w:rsidRDefault="00000000" w:rsidRPr="00000000" w14:paraId="000000C6">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C7">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C8">
      <w:pPr>
        <w:spacing w:line="276" w:lineRule="auto"/>
        <w:jc w:val="both"/>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tapas-opendata/decreet-835-mun/master/commerce/commercial-objects/Structure.csv" TargetMode="External"/><Relationship Id="rId11" Type="http://schemas.openxmlformats.org/officeDocument/2006/relationships/hyperlink" Target="https://zakon.rada.gov.ua/laws/show/280/97-%D0%B2%D1%80" TargetMode="External"/><Relationship Id="rId22" Type="http://schemas.openxmlformats.org/officeDocument/2006/relationships/hyperlink" Target="https://docs.ckan.org/en/latest/maintaining/datastore.html" TargetMode="External"/><Relationship Id="rId10" Type="http://schemas.openxmlformats.org/officeDocument/2006/relationships/hyperlink" Target="https://zakon.rada.gov.ua/laws/show/313-94-%D0%BF" TargetMode="External"/><Relationship Id="rId21" Type="http://schemas.openxmlformats.org/officeDocument/2006/relationships/hyperlink" Target="https://raw.githubusercontent.com/tapas-opendata/decreet-835-mun/master/commerce/commercial-objects/Structure.json" TargetMode="External"/><Relationship Id="rId13" Type="http://schemas.openxmlformats.org/officeDocument/2006/relationships/hyperlink" Target="http://www.kr-rada.gov.ua/uploads/documents/17707-819-03-01-2017.pdf" TargetMode="External"/><Relationship Id="rId12" Type="http://schemas.openxmlformats.org/officeDocument/2006/relationships/hyperlink" Target="http://www.kreschatic.kiev.ua/ua/3442/doc/1283280536.html" TargetMode="External"/><Relationship Id="rId23" Type="http://schemas.openxmlformats.org/officeDocument/2006/relationships/hyperlink" Target="http://sfs.gov.ua/dovidniki--reestri--perelik/dovidniki-/12729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833-2006-%D0%BF?fbclid=IwAR2GOCbS4S4JIfVI8yRwXndPkF6ug5csub-utGdxWUx64q73d0pJEKNxN3E" TargetMode="External"/><Relationship Id="rId15" Type="http://schemas.openxmlformats.org/officeDocument/2006/relationships/hyperlink" Target="https://github.com/tapas-opendata/decreet-835-mun/raw/master/commerce/commercial-objects/CommercialObjects.xlsx" TargetMode="External"/><Relationship Id="rId14" Type="http://schemas.openxmlformats.org/officeDocument/2006/relationships/hyperlink" Target="http://www.novomoskovsk-rada.gov.ua/document/pro-zatverdzhennya-statutu-terytorialnoyi-gromady-mista-novomoskovska-v-noviy-redakciyi" TargetMode="External"/><Relationship Id="rId17" Type="http://schemas.openxmlformats.org/officeDocument/2006/relationships/hyperlink" Target="https://github.com/tapas-opendata/decreet-835-mun/raw/master/commerce/commercial-objects/Example.xlsx" TargetMode="External"/><Relationship Id="rId16" Type="http://schemas.openxmlformats.org/officeDocument/2006/relationships/hyperlink" Target="https://github.com/tapas-opendata/decreet-835-mun/raw/master/commerce/commercial-objects/CommercialObjects.xlsx" TargetMode="External"/><Relationship Id="rId5" Type="http://schemas.openxmlformats.org/officeDocument/2006/relationships/styles" Target="styles.xml"/><Relationship Id="rId19" Type="http://schemas.openxmlformats.org/officeDocument/2006/relationships/hyperlink" Target="https://github.com/tapas-opendata/decreet-835-mun/raw/master/commerce/commercial-objects/Structure.xlsx"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github.com/tapas-opendata/decreet-835-mun/raw/master/commerce/commercial-objects/Example.xlsx" TargetMode="External"/><Relationship Id="rId7" Type="http://schemas.openxmlformats.org/officeDocument/2006/relationships/hyperlink" Target="https://zakon.rada.gov.ua/laws/show/1023-12" TargetMode="External"/><Relationship Id="rId8" Type="http://schemas.openxmlformats.org/officeDocument/2006/relationships/hyperlink" Target="https://zakon.rada.gov.ua/laws/show/40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