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Результати радіаційного контролю</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використання ядерної енергії та радіаційну безпеку» від 08.02.1995 № 39/95-ВР</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захист людини від впливу іонізуючого випромінювання» від 14.01.1998 № 15/98-ВР</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Результати вимірювання радіаційного фону відповідно до прийнятих інструкцій, методик, порядків тощо. Наприклад, Норм радіаційної безпеки України (НРБУ - 97), що затверджені Постановою МОЗ України та Головного державного санітарного лікаря України від 01.12.1997, 01.12.1999 № 62.</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Проведення вимірювань радіаційного фону.</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Більш як один раз на день або рідше залежно від частоти вимірювань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before="0" w:line="276" w:lineRule="auto"/>
        <w:rPr/>
      </w:pPr>
      <w:r w:rsidDel="00000000" w:rsidR="00000000" w:rsidRPr="00000000">
        <w:rPr>
          <w:rtl w:val="0"/>
        </w:rPr>
        <w:t xml:space="preserve">Радіаційний контроль безпосередньо не визначений як повноваження органів місцевого самоврядування. Однак, органи місцевого самоврядування можуть здійснювати власні спостереження відповідно до статті 36 </w:t>
      </w:r>
      <w:hyperlink r:id="rId9">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w:t>
      </w:r>
      <w:r w:rsidDel="00000000" w:rsidR="00000000" w:rsidRPr="00000000">
        <w:rPr>
          <w:rtl w:val="0"/>
        </w:rPr>
        <w:t xml:space="preserve">статті 20 </w:t>
      </w:r>
      <w:hyperlink r:id="rId10">
        <w:r w:rsidDel="00000000" w:rsidR="00000000" w:rsidRPr="00000000">
          <w:rPr>
            <w:color w:val="1155cc"/>
            <w:u w:val="single"/>
            <w:rtl w:val="0"/>
          </w:rPr>
          <w:t xml:space="preserve">Закону України «Про використання ядерної енергії та радіаційну безпеку»</w:t>
        </w:r>
      </w:hyperlink>
      <w:r w:rsidDel="00000000" w:rsidR="00000000" w:rsidRPr="00000000">
        <w:rPr>
          <w:rtl w:val="0"/>
        </w:rPr>
        <w:t xml:space="preserve"> та статті 14 </w:t>
      </w:r>
      <w:hyperlink r:id="rId11">
        <w:r w:rsidDel="00000000" w:rsidR="00000000" w:rsidRPr="00000000">
          <w:rPr>
            <w:color w:val="1155cc"/>
            <w:u w:val="single"/>
            <w:rtl w:val="0"/>
          </w:rPr>
          <w:t xml:space="preserve">Закону України «Про захист людини від впливу іонізуючого випромінювання»</w:t>
        </w:r>
      </w:hyperlink>
      <w:r w:rsidDel="00000000" w:rsidR="00000000" w:rsidRPr="00000000">
        <w:rPr>
          <w:rtl w:val="0"/>
        </w:rPr>
        <w:t xml:space="preserve">.</w:t>
      </w:r>
    </w:p>
    <w:p w:rsidR="00000000" w:rsidDel="00000000" w:rsidP="00000000" w:rsidRDefault="00000000" w:rsidRPr="00000000" w14:paraId="00000013">
      <w:pPr>
        <w:pStyle w:val="Heading1"/>
        <w:spacing w:line="276" w:lineRule="auto"/>
        <w:rPr/>
      </w:pPr>
      <w:bookmarkStart w:colFirst="0" w:colLast="0" w:name="_89zqh8uyvwb8"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pStyle w:val="Heading2"/>
        <w:spacing w:line="276" w:lineRule="auto"/>
        <w:rPr/>
      </w:pPr>
      <w:bookmarkStart w:colFirst="0" w:colLast="0" w:name="_2zzqfi3jspp5" w:id="4"/>
      <w:bookmarkEnd w:id="4"/>
      <w:r w:rsidDel="00000000" w:rsidR="00000000" w:rsidRPr="00000000">
        <w:rPr>
          <w:rtl w:val="0"/>
        </w:rPr>
        <w:t xml:space="preserve">3.1. Оприлюднення даних з автоматизованих систем моніторингу довкілля</w:t>
      </w:r>
    </w:p>
    <w:p w:rsidR="00000000" w:rsidDel="00000000" w:rsidP="00000000" w:rsidRDefault="00000000" w:rsidRPr="00000000" w14:paraId="00000015">
      <w:pPr>
        <w:spacing w:after="200" w:line="276" w:lineRule="auto"/>
        <w:rPr/>
      </w:pPr>
      <w:r w:rsidDel="00000000" w:rsidR="00000000" w:rsidRPr="00000000">
        <w:rPr>
          <w:rtl w:val="0"/>
        </w:rPr>
        <w:t xml:space="preserve">У випадку використання автоматизованих систем необхідно налаштувати експорт даних у відкритих машиночитаних форматах (CSV, XML, JSON) або надати доступ до даних через відкритий інтерфейс прикладного програмування (server-side web API). Для забезпечення повноти даних необхідно включити в структуру набору всі атрибути (поля), передбачені Таблицею 1. </w:t>
      </w:r>
    </w:p>
    <w:p w:rsidR="00000000" w:rsidDel="00000000" w:rsidP="00000000" w:rsidRDefault="00000000" w:rsidRPr="00000000" w14:paraId="00000016">
      <w:pPr>
        <w:spacing w:after="200" w:line="276" w:lineRule="auto"/>
        <w:rPr/>
      </w:pPr>
      <w:r w:rsidDel="00000000" w:rsidR="00000000" w:rsidRPr="00000000">
        <w:rPr>
          <w:rtl w:val="0"/>
        </w:rPr>
        <w:t xml:space="preserve">Не допускається оприлюднення в якості набору посилань на веб-сторінки сервісів, а також публікація агрегованих (зведених) даних, наприклад, середньотижневих або середньомісячних показників.</w:t>
      </w:r>
    </w:p>
    <w:p w:rsidR="00000000" w:rsidDel="00000000" w:rsidP="00000000" w:rsidRDefault="00000000" w:rsidRPr="00000000" w14:paraId="00000017">
      <w:pPr>
        <w:pStyle w:val="Heading2"/>
        <w:spacing w:line="276" w:lineRule="auto"/>
        <w:rPr/>
      </w:pPr>
      <w:bookmarkStart w:colFirst="0" w:colLast="0" w:name="_smddg2niselz" w:id="5"/>
      <w:bookmarkEnd w:id="5"/>
      <w:r w:rsidDel="00000000" w:rsidR="00000000" w:rsidRPr="00000000">
        <w:rPr>
          <w:rtl w:val="0"/>
        </w:rPr>
        <w:t xml:space="preserve">3.2. Оприлюднення даних у формі таблиць</w:t>
      </w:r>
    </w:p>
    <w:p w:rsidR="00000000" w:rsidDel="00000000" w:rsidP="00000000" w:rsidRDefault="00000000" w:rsidRPr="00000000" w14:paraId="00000018">
      <w:pPr>
        <w:spacing w:line="276" w:lineRule="auto"/>
        <w:rPr/>
      </w:pPr>
      <w:r w:rsidDel="00000000" w:rsidR="00000000" w:rsidRPr="00000000">
        <w:rPr>
          <w:rtl w:val="0"/>
        </w:rPr>
        <w:t xml:space="preserve">Якщо дані про радіаційний фон збираються та систематизуються персоналом, рекомендовано використовувати шаблон ресурсу </w:t>
      </w:r>
      <w:r w:rsidDel="00000000" w:rsidR="00000000" w:rsidRPr="00000000">
        <w:rPr>
          <w:rtl w:val="0"/>
        </w:rPr>
        <w:t xml:space="preserve">RadiationControl</w:t>
      </w:r>
      <w:r w:rsidDel="00000000" w:rsidR="00000000" w:rsidRPr="00000000">
        <w:rPr>
          <w:rtl w:val="0"/>
        </w:rPr>
        <w:t xml:space="preserve">. </w:t>
      </w:r>
    </w:p>
    <w:p w:rsidR="00000000" w:rsidDel="00000000" w:rsidP="00000000" w:rsidRDefault="00000000" w:rsidRPr="00000000" w14:paraId="00000019">
      <w:pPr>
        <w:spacing w:line="276" w:lineRule="auto"/>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b w:val="1"/>
              </w:rPr>
            </w:pPr>
            <w:r w:rsidDel="00000000" w:rsidR="00000000" w:rsidRPr="00000000">
              <w:rPr>
                <w:b w:val="1"/>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pPr>
            <w:r w:rsidDel="00000000" w:rsidR="00000000" w:rsidRPr="00000000">
              <w:rPr>
                <w:rtl w:val="0"/>
              </w:rPr>
              <w:t xml:space="preserve">RadiationControl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r w:rsidDel="00000000" w:rsidR="00000000" w:rsidRPr="00000000">
              <w:rPr>
                <w:rtl w:val="0"/>
              </w:rPr>
              <w:t xml:space="preserve">Одне вимірювання радіаційного фону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b w:val="1"/>
              </w:rPr>
            </w:pPr>
            <w:r w:rsidDel="00000000" w:rsidR="00000000" w:rsidRPr="00000000">
              <w:rPr>
                <w:b w:val="1"/>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Розміщення нової версії ресурсу, можливе створення нового ресурсу щомісяця, кварталу, 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hyperlink r:id="rId12">
              <w:r w:rsidDel="00000000" w:rsidR="00000000" w:rsidRPr="00000000">
                <w:rPr>
                  <w:color w:val="1155cc"/>
                  <w:u w:val="single"/>
                  <w:rtl w:val="0"/>
                </w:rPr>
                <w:t xml:space="preserve">RadiationControl</w:t>
              </w:r>
            </w:hyperlink>
            <w:hyperlink r:id="rId1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pPr>
            <w:hyperlink r:id="rId14">
              <w:r w:rsidDel="00000000" w:rsidR="00000000" w:rsidRPr="00000000">
                <w:rPr>
                  <w:color w:val="1155cc"/>
                  <w:u w:val="single"/>
                  <w:rtl w:val="0"/>
                </w:rPr>
                <w:t xml:space="preserve">RadiationControl</w:t>
              </w:r>
            </w:hyperlink>
            <w:hyperlink r:id="rId1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pPr>
            <w:hyperlink r:id="rId16">
              <w:r w:rsidDel="00000000" w:rsidR="00000000" w:rsidRPr="00000000">
                <w:rPr>
                  <w:color w:val="1155cc"/>
                  <w:u w:val="single"/>
                  <w:rtl w:val="0"/>
                </w:rPr>
                <w:t xml:space="preserve">Structure.xlsx</w:t>
              </w:r>
            </w:hyperlink>
            <w:r w:rsidDel="00000000" w:rsidR="00000000" w:rsidRPr="00000000">
              <w:rPr>
                <w:rtl w:val="0"/>
              </w:rPr>
              <w:t xml:space="preserve">, </w:t>
            </w:r>
            <w:hyperlink r:id="rId17">
              <w:r w:rsidDel="00000000" w:rsidR="00000000" w:rsidRPr="00000000">
                <w:rPr>
                  <w:color w:val="1155cc"/>
                  <w:u w:val="single"/>
                  <w:rtl w:val="0"/>
                </w:rPr>
                <w:t xml:space="preserve">Structure.csv</w:t>
              </w:r>
            </w:hyperlink>
            <w:r w:rsidDel="00000000" w:rsidR="00000000" w:rsidRPr="00000000">
              <w:rPr>
                <w:rtl w:val="0"/>
              </w:rPr>
              <w:t xml:space="preserve">, </w:t>
            </w:r>
            <w:hyperlink r:id="rId1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A">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9">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C">
      <w:pPr>
        <w:spacing w:after="200" w:line="276" w:lineRule="auto"/>
        <w:jc w:val="left"/>
        <w:rPr>
          <w:b w:val="1"/>
        </w:rPr>
      </w:pPr>
      <w:r w:rsidDel="00000000" w:rsidR="00000000" w:rsidRPr="00000000">
        <w:rPr>
          <w:rtl w:val="0"/>
        </w:rPr>
      </w:r>
    </w:p>
    <w:p w:rsidR="00000000" w:rsidDel="00000000" w:rsidP="00000000" w:rsidRDefault="00000000" w:rsidRPr="00000000" w14:paraId="0000002D">
      <w:pPr>
        <w:spacing w:after="200" w:line="276" w:lineRule="auto"/>
        <w:jc w:val="center"/>
        <w:rPr/>
      </w:pPr>
      <w:r w:rsidDel="00000000" w:rsidR="00000000" w:rsidRPr="00000000">
        <w:rPr>
          <w:b w:val="1"/>
          <w:rtl w:val="0"/>
        </w:rPr>
        <w:t xml:space="preserve">Таблиця </w:t>
      </w:r>
      <w:r w:rsidDel="00000000" w:rsidR="00000000" w:rsidRPr="00000000">
        <w:rPr>
          <w:b w:val="1"/>
          <w:rtl w:val="0"/>
        </w:rPr>
        <w:t xml:space="preserve">1</w:t>
      </w:r>
      <w:r w:rsidDel="00000000" w:rsidR="00000000" w:rsidRPr="00000000">
        <w:rPr>
          <w:b w:val="1"/>
          <w:rtl w:val="0"/>
        </w:rPr>
        <w:t xml:space="preserve"> — Структура таблиці </w:t>
      </w:r>
      <w:r w:rsidDel="00000000" w:rsidR="00000000" w:rsidRPr="00000000">
        <w:rPr>
          <w:b w:val="1"/>
          <w:rtl w:val="0"/>
        </w:rPr>
        <w:t xml:space="preserve">RadiationControl</w:t>
      </w:r>
      <w:r w:rsidDel="00000000" w:rsidR="00000000" w:rsidRPr="00000000">
        <w:rPr>
          <w:rtl w:val="0"/>
        </w:rPr>
      </w:r>
    </w:p>
    <w:tbl>
      <w:tblPr>
        <w:tblStyle w:val="Table4"/>
        <w:tblW w:w="904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80"/>
        <w:gridCol w:w="3225"/>
        <w:gridCol w:w="1320"/>
        <w:gridCol w:w="1500"/>
        <w:tblGridChange w:id="0">
          <w:tblGrid>
            <w:gridCol w:w="1620"/>
            <w:gridCol w:w="1380"/>
            <w:gridCol w:w="3225"/>
            <w:gridCol w:w="1320"/>
            <w:gridCol w:w="150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b w:val="1"/>
              </w:rPr>
            </w:pPr>
            <w:r w:rsidDel="00000000" w:rsidR="00000000" w:rsidRPr="00000000">
              <w:rPr>
                <w:b w:val="1"/>
                <w:rtl w:val="0"/>
              </w:rPr>
              <w:t xml:space="preserve">Вимога заповнення (required)</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Ідентифікатор вимірювання або його порядковий номер. Наприклад: 10.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Дата вимірювання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Дата й час вимірювання у форматі ISO 8601 (YYYY-MM-DDThh:mm:ss). Наприклад: 2016-12-01T13:00:00. Якщо час не фіксується, вказується лише дата. Наприклад: 2016-12-01.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Дата (date)</w:t>
            </w:r>
          </w:p>
          <w:p w:rsidR="00000000" w:rsidDel="00000000" w:rsidP="00000000" w:rsidRDefault="00000000" w:rsidRPr="00000000" w14:paraId="0000003C">
            <w:pPr>
              <w:widowControl w:val="0"/>
              <w:spacing w:line="276" w:lineRule="auto"/>
              <w:rPr/>
            </w:pPr>
            <w:r w:rsidDel="00000000" w:rsidR="00000000" w:rsidRPr="00000000">
              <w:rPr>
                <w:rtl w:val="0"/>
              </w:rPr>
            </w:r>
          </w:p>
          <w:p w:rsidR="00000000" w:rsidDel="00000000" w:rsidP="00000000" w:rsidRDefault="00000000" w:rsidRPr="00000000" w14:paraId="0000003D">
            <w:pPr>
              <w:widowControl w:val="0"/>
              <w:spacing w:line="276" w:lineRule="auto"/>
              <w:rPr/>
            </w:pPr>
            <w:r w:rsidDel="00000000" w:rsidR="00000000" w:rsidRPr="00000000">
              <w:rPr>
                <w:rtl w:val="0"/>
              </w:rPr>
            </w:r>
          </w:p>
          <w:p w:rsidR="00000000" w:rsidDel="00000000" w:rsidP="00000000" w:rsidRDefault="00000000" w:rsidRPr="00000000" w14:paraId="0000003E">
            <w:pPr>
              <w:widowControl w:val="0"/>
              <w:spacing w:line="276"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value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Значення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Радіаційний фон (потужність експозиційної дози).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12.3.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unitText</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Одиниця вимірювання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Назва одиниці вимірювання може мати одне зі значень: мкР/год або нЗв/год. Наприклад: мкР/год.</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authorityName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Назва організації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Назва організації, яка здійснювала вимірювання. Наприклад: Департамент цивільного захисту Миколаївської міської ради.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authorityIdentifier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spacing w:line="276" w:lineRule="auto"/>
              <w:rPr>
                <w:b w:val="1"/>
              </w:rPr>
            </w:pPr>
            <w:r w:rsidDel="00000000" w:rsidR="00000000" w:rsidRPr="00000000">
              <w:rPr>
                <w:rtl w:val="0"/>
              </w:rPr>
              <w:t xml:space="preserve">Ідентифікатор організації</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Код ЄДРПОУ організації, яка здійснювала вимірювання. Наприклад: 01234567.</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deviceName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Назва приладу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Назва моделі приладу, за допомогою якого здійснювалося вимірювання. Наприклад: МКС-05 «Терра».</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addressPostCode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Поштовий індекс</w:t>
              <w:tab/>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Поштовий індекс адреси, за якою здійснювалося вимірювання. Наприклад: 01234.</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Назва країни. У колонці має бути зазначено Україна.</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Назва регіону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Назва регіону. Наприклад: Полтавська область.</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Назва району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Назва населеного пункту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Істина (true)</w:t>
            </w:r>
          </w:p>
        </w:tc>
      </w:tr>
      <w:tr>
        <w:trPr>
          <w:trHeight w:val="2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Номер будівлі (об’єкта) може включати числа та букви. Наприклад: 15-А.</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Номер корпусу</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geoCoordinatesLatitude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Широта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Географічна широта об'єкта, де здійснювалося вимірювання. Розділювач десяткових значень — крапка. Наприклад: 50.457718.</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geoCoordinatesLongitude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Довгота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Географічна довгота об'єкта, де здійснювалося вимірювання. Розділювач десяткових значень — крапка. Наприклад: 30.487021.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Хибність (false)</w:t>
            </w:r>
          </w:p>
        </w:tc>
      </w:tr>
    </w:tbl>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pStyle w:val="Heading1"/>
        <w:spacing w:line="276" w:lineRule="auto"/>
        <w:rPr/>
      </w:pPr>
      <w:bookmarkStart w:colFirst="0" w:colLast="0" w:name="_qh7a8clwsfdx" w:id="6"/>
      <w:bookmarkEnd w:id="6"/>
      <w:r w:rsidDel="00000000" w:rsidR="00000000" w:rsidRPr="00000000">
        <w:rPr>
          <w:rtl w:val="0"/>
        </w:rPr>
        <w:t xml:space="preserve">4. Оформлення паспортів наборів та ресурсів</w:t>
      </w:r>
      <w:r w:rsidDel="00000000" w:rsidR="00000000" w:rsidRPr="00000000">
        <w:rPr>
          <w:rtl w:val="0"/>
        </w:rPr>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D">
            <w:pPr>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покращує індексування набору пошуковими системами.</w:t>
            </w:r>
          </w:p>
        </w:tc>
      </w:tr>
    </w:tbl>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after="200" w:line="276" w:lineRule="auto"/>
        <w:jc w:val="center"/>
        <w:rPr>
          <w:b w:val="1"/>
        </w:rPr>
      </w:pPr>
      <w:r w:rsidDel="00000000" w:rsidR="00000000" w:rsidRPr="00000000">
        <w:rPr>
          <w:b w:val="1"/>
          <w:rtl w:val="0"/>
        </w:rPr>
        <w:t xml:space="preserve">Таблиця 2 — Приклад паспорту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20"/>
        <w:gridCol w:w="6225"/>
        <w:tblGridChange w:id="0">
          <w:tblGrid>
            <w:gridCol w:w="2820"/>
            <w:gridCol w:w="6225"/>
          </w:tblGrid>
        </w:tblGridChange>
      </w:tblGrid>
      <w:tr>
        <w:trPr>
          <w:trHeight w:val="100" w:hRule="atLeast"/>
        </w:trPr>
        <w:tc>
          <w:tcPr/>
          <w:p w:rsidR="00000000" w:rsidDel="00000000" w:rsidP="00000000" w:rsidRDefault="00000000" w:rsidRPr="00000000" w14:paraId="0000009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91">
            <w:pPr>
              <w:widowControl w:val="0"/>
              <w:spacing w:line="276" w:lineRule="auto"/>
              <w:rPr>
                <w:b w:val="1"/>
              </w:rPr>
            </w:pPr>
            <w:r w:rsidDel="00000000" w:rsidR="00000000" w:rsidRPr="00000000">
              <w:rPr>
                <w:b w:val="1"/>
                <w:rtl w:val="0"/>
              </w:rPr>
              <w:t xml:space="preserve">Приклад заповнення</w:t>
            </w:r>
          </w:p>
        </w:tc>
      </w:tr>
      <w:tr>
        <w:trPr>
          <w:trHeight w:val="420" w:hRule="atLeast"/>
        </w:trPr>
        <w:tc>
          <w:tcPr/>
          <w:p w:rsidR="00000000" w:rsidDel="00000000" w:rsidP="00000000" w:rsidRDefault="00000000" w:rsidRPr="00000000" w14:paraId="00000092">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93">
            <w:pPr>
              <w:spacing w:after="0" w:line="276" w:lineRule="auto"/>
              <w:rPr/>
            </w:pPr>
            <w:r w:rsidDel="00000000" w:rsidR="00000000" w:rsidRPr="00000000">
              <w:rPr>
                <w:rtl w:val="0"/>
              </w:rPr>
              <w:t xml:space="preserve">Результати радіаційного контролю на території Миколаївської міської ради.</w:t>
            </w:r>
          </w:p>
        </w:tc>
      </w:tr>
      <w:tr>
        <w:trPr>
          <w:trHeight w:val="20" w:hRule="atLeast"/>
        </w:trPr>
        <w:tc>
          <w:tcPr/>
          <w:p w:rsidR="00000000" w:rsidDel="00000000" w:rsidP="00000000" w:rsidRDefault="00000000" w:rsidRPr="00000000" w14:paraId="00000094">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95">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96">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97">
            <w:pPr>
              <w:widowControl w:val="0"/>
              <w:spacing w:line="276" w:lineRule="auto"/>
              <w:rPr/>
            </w:pPr>
            <w:r w:rsidDel="00000000" w:rsidR="00000000" w:rsidRPr="00000000">
              <w:rPr>
                <w:rtl w:val="0"/>
              </w:rPr>
              <w:t xml:space="preserve">Щодня</w:t>
            </w:r>
            <w:r w:rsidDel="00000000" w:rsidR="00000000" w:rsidRPr="00000000">
              <w:rPr>
                <w:rtl w:val="0"/>
              </w:rPr>
            </w:r>
          </w:p>
        </w:tc>
      </w:tr>
      <w:tr>
        <w:tc>
          <w:tcPr/>
          <w:p w:rsidR="00000000" w:rsidDel="00000000" w:rsidP="00000000" w:rsidRDefault="00000000" w:rsidRPr="00000000" w14:paraId="00000098">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99">
            <w:pPr>
              <w:widowControl w:val="0"/>
              <w:spacing w:line="276" w:lineRule="auto"/>
              <w:rPr/>
            </w:pPr>
            <w:r w:rsidDel="00000000" w:rsidR="00000000" w:rsidRPr="00000000">
              <w:rPr>
                <w:rtl w:val="0"/>
              </w:rPr>
              <w:t xml:space="preserve">Ресурс містить інформацію про результати радіаційного контролю (потужність експозиційної дози) на території міста Миколаїв. Радіаційний контроль проводиться департаментом Цивільної безпеки Миколаївської міської ради.</w:t>
            </w:r>
          </w:p>
        </w:tc>
      </w:tr>
      <w:tr>
        <w:trPr>
          <w:trHeight w:val="180" w:hRule="atLeast"/>
        </w:trPr>
        <w:tc>
          <w:tcPr/>
          <w:p w:rsidR="00000000" w:rsidDel="00000000" w:rsidP="00000000" w:rsidRDefault="00000000" w:rsidRPr="00000000" w14:paraId="0000009A">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9B">
            <w:pPr>
              <w:widowControl w:val="0"/>
              <w:spacing w:line="276" w:lineRule="auto"/>
              <w:rPr/>
            </w:pPr>
            <w:r w:rsidDel="00000000" w:rsidR="00000000" w:rsidRPr="00000000">
              <w:rPr>
                <w:rtl w:val="0"/>
              </w:rPr>
              <w:t xml:space="preserve">Закон України «Про місцеве самоврядування в Україні» від 21.05.1997 № 280/97-ВР, Закон України «Про використання ядерної енергії та радіаційну безпеку» від 08.02.1995 № 39/95-ВР, Закон України «Про захист людини від впливу іонізуючого випромінювання» від 14.01.1998 № 15/98-ВР</w:t>
            </w:r>
            <w:r w:rsidDel="00000000" w:rsidR="00000000" w:rsidRPr="00000000">
              <w:rPr>
                <w:rtl w:val="0"/>
              </w:rPr>
            </w:r>
          </w:p>
        </w:tc>
      </w:tr>
      <w:tr>
        <w:trPr>
          <w:trHeight w:val="660" w:hRule="atLeast"/>
        </w:trPr>
        <w:tc>
          <w:tcPr/>
          <w:p w:rsidR="00000000" w:rsidDel="00000000" w:rsidP="00000000" w:rsidRDefault="00000000" w:rsidRPr="00000000" w14:paraId="0000009C">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9D">
            <w:pPr>
              <w:widowControl w:val="0"/>
              <w:spacing w:line="276" w:lineRule="auto"/>
              <w:rPr/>
            </w:pPr>
            <w:r w:rsidDel="00000000" w:rsidR="00000000" w:rsidRPr="00000000">
              <w:rPr>
                <w:rtl w:val="0"/>
              </w:rPr>
              <w:t xml:space="preserve">безпека, екологія, радіаційний контроль, радіаційний фон, потужність експозиційної дози, ПЕД, радіація, іонізуюче випромінювання, радіаційна безпека, вимірювання</w:t>
            </w:r>
          </w:p>
        </w:tc>
      </w:tr>
      <w:tr>
        <w:trPr>
          <w:trHeight w:val="460" w:hRule="atLeast"/>
        </w:trPr>
        <w:tc>
          <w:tcPr/>
          <w:p w:rsidR="00000000" w:rsidDel="00000000" w:rsidP="00000000" w:rsidRDefault="00000000" w:rsidRPr="00000000" w14:paraId="0000009E">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9F">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A0">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A1">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A2">
      <w:pPr>
        <w:spacing w:after="200" w:line="276" w:lineRule="auto"/>
        <w:rPr/>
      </w:pPr>
      <w:r w:rsidDel="00000000" w:rsidR="00000000" w:rsidRPr="00000000">
        <w:rPr>
          <w:rtl w:val="0"/>
        </w:rPr>
      </w:r>
    </w:p>
    <w:p w:rsidR="00000000" w:rsidDel="00000000" w:rsidP="00000000" w:rsidRDefault="00000000" w:rsidRPr="00000000" w14:paraId="000000A3">
      <w:pPr>
        <w:spacing w:after="200" w:line="276" w:lineRule="auto"/>
        <w:jc w:val="center"/>
        <w:rPr>
          <w:b w:val="1"/>
        </w:rPr>
      </w:pPr>
      <w:r w:rsidDel="00000000" w:rsidR="00000000" w:rsidRPr="00000000">
        <w:rPr>
          <w:b w:val="1"/>
          <w:rtl w:val="0"/>
        </w:rPr>
        <w:t xml:space="preserve">Таблиця 3 — Приклад паспорта ресурсу </w:t>
      </w:r>
      <w:r w:rsidDel="00000000" w:rsidR="00000000" w:rsidRPr="00000000">
        <w:rPr>
          <w:b w:val="1"/>
          <w:rtl w:val="0"/>
        </w:rPr>
        <w:t xml:space="preserve">RadiationControl</w:t>
      </w: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A4">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A5">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6">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A7">
            <w:pPr>
              <w:spacing w:line="276" w:lineRule="auto"/>
              <w:rPr/>
            </w:pPr>
            <w:r w:rsidDel="00000000" w:rsidR="00000000" w:rsidRPr="00000000">
              <w:rPr>
                <w:rtl w:val="0"/>
              </w:rPr>
              <w:t xml:space="preserve">RadiationControl</w:t>
            </w:r>
            <w:r w:rsidDel="00000000" w:rsidR="00000000" w:rsidRPr="00000000">
              <w:rPr>
                <w:rtl w:val="0"/>
              </w:rPr>
            </w:r>
          </w:p>
        </w:tc>
      </w:tr>
      <w:tr>
        <w:tc>
          <w:tcPr/>
          <w:p w:rsidR="00000000" w:rsidDel="00000000" w:rsidP="00000000" w:rsidRDefault="00000000" w:rsidRPr="00000000" w14:paraId="000000A8">
            <w:pPr>
              <w:spacing w:line="276" w:lineRule="auto"/>
              <w:rPr/>
            </w:pPr>
            <w:r w:rsidDel="00000000" w:rsidR="00000000" w:rsidRPr="00000000">
              <w:rPr>
                <w:rtl w:val="0"/>
              </w:rPr>
              <w:t xml:space="preserve">Опис</w:t>
            </w:r>
          </w:p>
        </w:tc>
        <w:tc>
          <w:tcPr/>
          <w:p w:rsidR="00000000" w:rsidDel="00000000" w:rsidP="00000000" w:rsidRDefault="00000000" w:rsidRPr="00000000" w14:paraId="000000A9">
            <w:pPr>
              <w:widowControl w:val="0"/>
              <w:spacing w:line="276" w:lineRule="auto"/>
              <w:rPr/>
            </w:pPr>
            <w:r w:rsidDel="00000000" w:rsidR="00000000" w:rsidRPr="00000000">
              <w:rPr>
                <w:rtl w:val="0"/>
              </w:rPr>
              <w:t xml:space="preserve">Таблиця містить результати (потужність експозиційної дози), дату та час вимірювання, інформацію про організацію, що здійснювала вимірювання, а також адресу та географічні координати. Кожним записом в таблиці є одне вимірювання.</w:t>
            </w:r>
          </w:p>
        </w:tc>
      </w:tr>
      <w:tr>
        <w:trPr>
          <w:trHeight w:val="160" w:hRule="atLeast"/>
        </w:trPr>
        <w:tc>
          <w:tcPr/>
          <w:p w:rsidR="00000000" w:rsidDel="00000000" w:rsidP="00000000" w:rsidRDefault="00000000" w:rsidRPr="00000000" w14:paraId="000000AA">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AB">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AC">
      <w:pPr>
        <w:spacing w:line="276" w:lineRule="auto"/>
        <w:jc w:val="both"/>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zakon.rada.gov.ua/laws/show/15/98-%D0%B2%D1%80" TargetMode="External"/><Relationship Id="rId10" Type="http://schemas.openxmlformats.org/officeDocument/2006/relationships/hyperlink" Target="https://zakon.rada.gov.ua/rada/show/en/39/95-%D0%B2%D1%80" TargetMode="External"/><Relationship Id="rId13" Type="http://schemas.openxmlformats.org/officeDocument/2006/relationships/hyperlink" Target="https://github.com/tapas-opendata/decreet-835-mun/raw/master/environment/radiation-control/RadiationControl.xlsx" TargetMode="External"/><Relationship Id="rId12" Type="http://schemas.openxmlformats.org/officeDocument/2006/relationships/hyperlink" Target="https://github.com/tapas-opendata/decreet-835-mun/raw/master/environment/radiation-control/RadiationControl.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80/97-%D0%B2%D1%80" TargetMode="External"/><Relationship Id="rId15" Type="http://schemas.openxmlformats.org/officeDocument/2006/relationships/hyperlink" Target="https://github.com/tapas-opendata/decreet-835-mun/raw/master/environment/radiation-control/Example.xlsx" TargetMode="External"/><Relationship Id="rId14" Type="http://schemas.openxmlformats.org/officeDocument/2006/relationships/hyperlink" Target="https://github.com/tapas-opendata/decreet-835-mun/raw/master/environment/radiation-control/Example.xlsx" TargetMode="External"/><Relationship Id="rId17" Type="http://schemas.openxmlformats.org/officeDocument/2006/relationships/hyperlink" Target="https://raw.githubusercontent.com/tapas-opendata/decreet-835/master/environment/radiation-control/Structure.csv" TargetMode="External"/><Relationship Id="rId16" Type="http://schemas.openxmlformats.org/officeDocument/2006/relationships/hyperlink" Target="https://github.com/tapas-opendata/decreet-835-mun/raw/master/environment/radiation-control/Structure.xlsx" TargetMode="External"/><Relationship Id="rId5" Type="http://schemas.openxmlformats.org/officeDocument/2006/relationships/styles" Target="styles.xml"/><Relationship Id="rId19" Type="http://schemas.openxmlformats.org/officeDocument/2006/relationships/hyperlink" Target="https://docs.ckan.org/en/latest/maintaining/datastore.html" TargetMode="External"/><Relationship Id="rId6" Type="http://schemas.openxmlformats.org/officeDocument/2006/relationships/hyperlink" Target="https://zakon.rada.gov.ua/laws/show/280/97-%D0%B2%D1%80" TargetMode="External"/><Relationship Id="rId18" Type="http://schemas.openxmlformats.org/officeDocument/2006/relationships/hyperlink" Target="https://raw.githubusercontent.com/tapas-opendata/decreet-835/master/environment/radiation-control/Structure.json" TargetMode="External"/><Relationship Id="rId7" Type="http://schemas.openxmlformats.org/officeDocument/2006/relationships/hyperlink" Target="https://zakon.rada.gov.ua/rada/show/en/39/95-%D0%B2%D1%80" TargetMode="External"/><Relationship Id="rId8" Type="http://schemas.openxmlformats.org/officeDocument/2006/relationships/hyperlink" Target="https://zakon.rada.gov.ua/laws/show/15/98-%D0%B2%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