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po0xmcuvsq7" w:id="0"/>
      <w:bookmarkEnd w:id="0"/>
      <w:r w:rsidDel="00000000" w:rsidR="00000000" w:rsidRPr="00000000">
        <w:rPr>
          <w:rtl w:val="0"/>
        </w:rPr>
        <w:t xml:space="preserve">Дані про медичне обладнання комунальних закладів охорони здоров’я</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«Основи законодавства України про охорону здоров'я» від 19.11.1992 № 2801-XII</w:t>
              </w:r>
            </w:hyperlink>
            <w:r w:rsidDel="00000000" w:rsidR="00000000" w:rsidRPr="00000000">
              <w:rPr>
                <w:rtl w:val="0"/>
              </w:rPr>
              <w:t xml:space="preserve">, </w:t>
            </w:r>
            <w:hyperlink r:id="rId8">
              <w:r w:rsidDel="00000000" w:rsidR="00000000" w:rsidRPr="00000000">
                <w:rPr>
                  <w:color w:val="1155cc"/>
                  <w:u w:val="single"/>
                  <w:rtl w:val="0"/>
                </w:rPr>
                <w:t xml:space="preserve">Наказ Мінфіну України «Про затвердження Положення про інвентаризацію активів та зобов’язань» від 02.09.2014 № 879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Інформація про медичне обладнання фіксується під час проведення інвентаризації активів та зобов’язань закладів охорони здоров’я (див. Наказ Мінфіну України від 02.09.2014 № 879).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Проведення інвентаризації обладнання, взяття обладнання на баланс або його списання, актуалізація даних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 або щороку у строки, визначені для проведення інвентаризації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rPr/>
      </w:pPr>
      <w:r w:rsidDel="00000000" w:rsidR="00000000" w:rsidRPr="00000000">
        <w:rPr>
          <w:rtl w:val="0"/>
        </w:rPr>
        <w:t xml:space="preserve">Облік медичного обладнання як основних засобів ведеться відповідно до Положення (стандарту) бухгалтерського обліку 7 «Основні засоби», затвердженого </w:t>
      </w:r>
      <w:hyperlink r:id="rId9">
        <w:r w:rsidDel="00000000" w:rsidR="00000000" w:rsidRPr="00000000">
          <w:rPr>
            <w:color w:val="1155cc"/>
            <w:u w:val="single"/>
            <w:rtl w:val="0"/>
          </w:rPr>
          <w:t xml:space="preserve">Наказом Мінфіну України від 27.04.2000 № 92</w:t>
        </w:r>
      </w:hyperlink>
      <w:r w:rsidDel="00000000" w:rsidR="00000000" w:rsidRPr="00000000">
        <w:rPr>
          <w:rtl w:val="0"/>
        </w:rPr>
        <w:t xml:space="preserve">. Інвентаризація обладнання проводиться відповідно до вимог Положення, затвердженого </w:t>
      </w:r>
      <w:hyperlink r:id="rId10">
        <w:r w:rsidDel="00000000" w:rsidR="00000000" w:rsidRPr="00000000">
          <w:rPr>
            <w:color w:val="1155cc"/>
            <w:u w:val="single"/>
            <w:rtl w:val="0"/>
          </w:rPr>
          <w:t xml:space="preserve">Наказом Мінфіну України від 02.09.2014 № 879</w:t>
        </w:r>
      </w:hyperlink>
      <w:r w:rsidDel="00000000" w:rsidR="00000000" w:rsidRPr="00000000">
        <w:rPr>
          <w:rtl w:val="0"/>
        </w:rPr>
        <w:t xml:space="preserve">. До і</w:t>
      </w:r>
      <w:r w:rsidDel="00000000" w:rsidR="00000000" w:rsidRPr="00000000">
        <w:rPr>
          <w:rtl w:val="0"/>
        </w:rPr>
        <w:t xml:space="preserve">нвентаризаційного опису вносяться відомості про найменування, інвентарний номер, заводський номер (у разі його наявності), рік випуску, первісну (переоцінену) вартість, суму зносу, строк корисного використання та інші відомості.</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after="200" w:lineRule="auto"/>
        <w:rPr/>
      </w:pPr>
      <w:bookmarkStart w:colFirst="0" w:colLast="0" w:name="_pn9w3aitj72"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Медичне обладнання, що обліковується як один основний засіб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hyperlink r:id="rId11">
              <w:r w:rsidDel="00000000" w:rsidR="00000000" w:rsidRPr="00000000">
                <w:rPr>
                  <w:color w:val="1155cc"/>
                  <w:u w:val="single"/>
                  <w:rtl w:val="0"/>
                </w:rPr>
                <w:t xml:space="preserve">Equipment</w:t>
              </w:r>
            </w:hyperlink>
            <w:hyperlink r:id="rId1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5">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7">
      <w:pPr>
        <w:spacing w:after="200" w:lineRule="auto"/>
        <w:rPr>
          <w:shd w:fill="f4cccc" w:val="clear"/>
        </w:rPr>
      </w:pPr>
      <w:r w:rsidDel="00000000" w:rsidR="00000000" w:rsidRPr="00000000">
        <w:rPr>
          <w:rtl w:val="0"/>
        </w:rPr>
      </w:r>
    </w:p>
    <w:p w:rsidR="00000000" w:rsidDel="00000000" w:rsidP="00000000" w:rsidRDefault="00000000" w:rsidRPr="00000000" w14:paraId="00000028">
      <w:pPr>
        <w:spacing w:after="200" w:lineRule="auto"/>
        <w:jc w:val="center"/>
        <w:rPr/>
      </w:pPr>
      <w:r w:rsidDel="00000000" w:rsidR="00000000" w:rsidRPr="00000000">
        <w:rPr>
          <w:b w:val="1"/>
          <w:rtl w:val="0"/>
        </w:rPr>
        <w:t xml:space="preserve">Таблиця 1 — Структура таблиці (ресурсу) </w:t>
      </w:r>
      <w:r w:rsidDel="00000000" w:rsidR="00000000" w:rsidRPr="00000000">
        <w:rPr>
          <w:b w:val="1"/>
          <w:rtl w:val="0"/>
        </w:rPr>
        <w:t xml:space="preserve">Equipment</w:t>
      </w:r>
      <w:r w:rsidDel="00000000" w:rsidR="00000000" w:rsidRPr="00000000">
        <w:rPr>
          <w:rtl w:val="0"/>
        </w:rPr>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9">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A">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B">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C">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D">
            <w:pPr>
              <w:widowControl w:val="0"/>
              <w:rPr>
                <w:b w:val="1"/>
              </w:rPr>
            </w:pPr>
            <w:r w:rsidDel="00000000" w:rsidR="00000000" w:rsidRPr="00000000">
              <w:rPr>
                <w:b w:val="1"/>
                <w:rtl w:val="0"/>
              </w:rPr>
              <w:t xml:space="preserve">Вимога заповнення (required)</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E">
            <w:pPr>
              <w:widowControl w:val="0"/>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F">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0">
            <w:pPr>
              <w:widowControl w:val="0"/>
              <w:rPr/>
            </w:pPr>
            <w:r w:rsidDel="00000000" w:rsidR="00000000" w:rsidRPr="00000000">
              <w:rPr>
                <w:rtl w:val="0"/>
              </w:rPr>
              <w:t xml:space="preserve">Ідентифікатором об’єкта може може бути код ЄДРПОУ балансоутримувача та інвентарний номер об’єкта, що розділені знаком дефіс «-». Наприклад: 01234567-10000234. Розпорядники можуть використовувати власні ідентифікатори.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1">
            <w:pPr>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2">
            <w:pPr>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3">
            <w:pPr>
              <w:widowControl w:val="0"/>
              <w:rPr/>
            </w:pPr>
            <w:r w:rsidDel="00000000" w:rsidR="00000000" w:rsidRPr="00000000">
              <w:rPr>
                <w:rtl w:val="0"/>
              </w:rPr>
              <w:t xml:space="preserve">inventoryNumber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4">
            <w:pPr>
              <w:widowControl w:val="0"/>
              <w:rPr/>
            </w:pPr>
            <w:r w:rsidDel="00000000" w:rsidR="00000000" w:rsidRPr="00000000">
              <w:rPr>
                <w:rtl w:val="0"/>
              </w:rPr>
              <w:t xml:space="preserve">Інвентарний номер</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5">
            <w:pPr>
              <w:widowControl w:val="0"/>
              <w:rPr/>
            </w:pPr>
            <w:r w:rsidDel="00000000" w:rsidR="00000000" w:rsidRPr="00000000">
              <w:rPr>
                <w:rtl w:val="0"/>
              </w:rPr>
              <w:t xml:space="preserve">Інвентарний номер об’єкта. Наприклад: 10000234.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36">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37">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rtl w:val="0"/>
              </w:rPr>
              <w:t xml:space="preserve">serialNumber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rtl w:val="0"/>
              </w:rPr>
              <w:t xml:space="preserve">Серійний номер</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Серійний номер медичного обладнання. </w:t>
            </w:r>
            <w:r w:rsidDel="00000000" w:rsidR="00000000" w:rsidRPr="00000000">
              <w:rPr>
                <w:rtl w:val="0"/>
              </w:rPr>
              <w:t xml:space="preserve">Наприклад: AB 12345.</w:t>
            </w:r>
            <w:r w:rsidDel="00000000" w:rsidR="00000000" w:rsidRPr="00000000">
              <w:rPr>
                <w:rtl w:val="0"/>
              </w:rPr>
              <w:t xml:space="preserve">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3B">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3C">
            <w:pPr>
              <w:spacing w:line="240"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passportNumber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Номер паспорта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Номер паспорта медичного обладнання. </w:t>
            </w:r>
            <w:r w:rsidDel="00000000" w:rsidR="00000000" w:rsidRPr="00000000">
              <w:rPr>
                <w:rtl w:val="0"/>
              </w:rPr>
              <w:t xml:space="preserve">Наприклад: AB 12345.</w:t>
            </w:r>
            <w:r w:rsidDel="00000000" w:rsidR="00000000" w:rsidRPr="00000000">
              <w:rPr>
                <w:rtl w:val="0"/>
              </w:rPr>
              <w:t xml:space="preserve">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0">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1">
            <w:pPr>
              <w:spacing w:line="240"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rPr/>
            </w:pPr>
            <w:r w:rsidDel="00000000" w:rsidR="00000000" w:rsidRPr="00000000">
              <w:rPr>
                <w:rtl w:val="0"/>
              </w:rPr>
              <w:t xml:space="preserve">Найменування обладнання</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rPr/>
            </w:pPr>
            <w:r w:rsidDel="00000000" w:rsidR="00000000" w:rsidRPr="00000000">
              <w:rPr>
                <w:rtl w:val="0"/>
              </w:rPr>
              <w:t xml:space="preserve">Найменування медичного обладнання. Наприклад: Аналізатор біохімічний</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5">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6">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model</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Модель обладнання</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rtl w:val="0"/>
              </w:rPr>
              <w:t xml:space="preserve">Модель медичного обладнання. Наприклад: ВА-88А</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A">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B">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producerName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pPr>
            <w:r w:rsidDel="00000000" w:rsidR="00000000" w:rsidRPr="00000000">
              <w:rPr>
                <w:rtl w:val="0"/>
              </w:rPr>
              <w:t xml:space="preserve">Виробник</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Назва виробника медичного обладнання. Наприклад: ТОВ «Медобладнання».</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4F">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50">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yearMade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rPr/>
            </w:pPr>
            <w:r w:rsidDel="00000000" w:rsidR="00000000" w:rsidRPr="00000000">
              <w:rPr>
                <w:rtl w:val="0"/>
              </w:rPr>
              <w:t xml:space="preserve">Рік випуску обладнання</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rPr/>
            </w:pPr>
            <w:r w:rsidDel="00000000" w:rsidR="00000000" w:rsidRPr="00000000">
              <w:rPr>
                <w:rtl w:val="0"/>
              </w:rPr>
              <w:t xml:space="preserve">Рік випуску медичного обладнання (лише число). Наприклад: 2009.</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54">
            <w:pPr>
              <w:spacing w:line="240" w:lineRule="auto"/>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55">
            <w:pPr>
              <w:spacing w:line="240"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6">
            <w:pPr>
              <w:rPr/>
            </w:pPr>
            <w:r w:rsidDel="00000000" w:rsidR="00000000" w:rsidRPr="00000000">
              <w:rPr>
                <w:rtl w:val="0"/>
              </w:rPr>
              <w:t xml:space="preserve">q</w:t>
            </w:r>
            <w:r w:rsidDel="00000000" w:rsidR="00000000" w:rsidRPr="00000000">
              <w:rPr>
                <w:rtl w:val="0"/>
              </w:rPr>
              <w:t xml:space="preserve">uantity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7">
            <w:pPr>
              <w:rPr/>
            </w:pPr>
            <w:r w:rsidDel="00000000" w:rsidR="00000000" w:rsidRPr="00000000">
              <w:rPr>
                <w:rtl w:val="0"/>
              </w:rPr>
              <w:t xml:space="preserve">Кількість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8">
            <w:pPr>
              <w:rPr/>
            </w:pPr>
            <w:r w:rsidDel="00000000" w:rsidR="00000000" w:rsidRPr="00000000">
              <w:rPr>
                <w:rtl w:val="0"/>
              </w:rPr>
              <w:t xml:space="preserve">Кількість одиниць медичного обладнання. Наприклад: 3.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9">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A">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B">
            <w:pPr>
              <w:rPr/>
            </w:pPr>
            <w:r w:rsidDel="00000000" w:rsidR="00000000" w:rsidRPr="00000000">
              <w:rPr>
                <w:rtl w:val="0"/>
              </w:rPr>
              <w:t xml:space="preserve">u</w:t>
            </w:r>
            <w:r w:rsidDel="00000000" w:rsidR="00000000" w:rsidRPr="00000000">
              <w:rPr>
                <w:rtl w:val="0"/>
              </w:rPr>
              <w:t xml:space="preserve">nitName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C">
            <w:pPr>
              <w:rPr/>
            </w:pPr>
            <w:r w:rsidDel="00000000" w:rsidR="00000000" w:rsidRPr="00000000">
              <w:rPr>
                <w:rtl w:val="0"/>
              </w:rPr>
              <w:t xml:space="preserve">Одиниця виміру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rPr/>
            </w:pPr>
            <w:r w:rsidDel="00000000" w:rsidR="00000000" w:rsidRPr="00000000">
              <w:rPr>
                <w:rtl w:val="0"/>
              </w:rPr>
              <w:t xml:space="preserve">Назва одиниці медичного обладнання, наприклад, штука, пара, набір тощо. Наприклад: шт.</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F">
            <w:pPr>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primary</w:t>
            </w:r>
            <w:r w:rsidDel="00000000" w:rsidR="00000000" w:rsidRPr="00000000">
              <w:rPr>
                <w:rtl w:val="0"/>
              </w:rPr>
              <w:t xml:space="preserve">ValueAmount</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Первісна вартість</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Первісна (переоцінена) вартість медичного обладнання в гривнях без зазначення валюти («грн», «UAH»). Наприклад: 1000,50.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63">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64">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amortizationValueAmount</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Сума зносу</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Сума зносу (накопиченої амортизації) медичного обладнання в гривнях без зазначення валюти («грн», «UAH»). Наприклад: 100,00.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68">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69">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bookValueAmount</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Балансова вартість</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Балансова вартість медичного обладнання в гривнях без зазначення валюти («грн», «UAH»). Наприклад: 900,50.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6D">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6E">
            <w:pPr>
              <w:spacing w:line="240"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F">
            <w:pPr>
              <w:rPr/>
            </w:pPr>
            <w:r w:rsidDel="00000000" w:rsidR="00000000" w:rsidRPr="00000000">
              <w:rPr>
                <w:rtl w:val="0"/>
              </w:rPr>
              <w:t xml:space="preserve">usage</w:t>
            </w:r>
            <w:r w:rsidDel="00000000" w:rsidR="00000000" w:rsidRPr="00000000">
              <w:rPr>
                <w:rtl w:val="0"/>
              </w:rPr>
              <w:t xml:space="preserve">DuarationInYears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0">
            <w:pPr>
              <w:rPr/>
            </w:pPr>
            <w:r w:rsidDel="00000000" w:rsidR="00000000" w:rsidRPr="00000000">
              <w:rPr>
                <w:rtl w:val="0"/>
              </w:rPr>
              <w:t xml:space="preserve">Корисне використання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1">
            <w:pPr>
              <w:rPr/>
            </w:pPr>
            <w:r w:rsidDel="00000000" w:rsidR="00000000" w:rsidRPr="00000000">
              <w:rPr>
                <w:rtl w:val="0"/>
              </w:rPr>
              <w:t xml:space="preserve">Строк корисного використання медичного обладнання в роках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5,5.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2">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serviceSubgroupTitle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Назва підгрупи послуг</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Назва підгрупи медичних послуг (2-й рівень), які надаються на обладнанні, відповідно до Галузевого класифікатора медичних процедур (послуг) та хірургічних операцій (Наказ МОЗ від 14.02.2007 № 67). Наприклад: Ендоскопічні дослідження.</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77">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78">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serviceSubgroup</w:t>
            </w: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Код підгрупи послуг</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rtl w:val="0"/>
              </w:rPr>
              <w:t xml:space="preserve">Код підгрупи медичних послуг (2-й рівень), які надаються на обладнанні, відповідно до Галузевого класифікатора медичних процедур (послуг) та хірургічних операцій (Наказ МОЗ від 14.02.2007 № 67). Наприклад: 2A.</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7C">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7D">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organizationName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pPr>
            <w:r w:rsidDel="00000000" w:rsidR="00000000" w:rsidRPr="00000000">
              <w:rPr>
                <w:rtl w:val="0"/>
              </w:rPr>
              <w:t xml:space="preserve">Назва баласоутримувача</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rPr/>
            </w:pPr>
            <w:r w:rsidDel="00000000" w:rsidR="00000000" w:rsidRPr="00000000">
              <w:rPr>
                <w:rtl w:val="0"/>
              </w:rPr>
              <w:t xml:space="preserve">Повна назва юридичної особи, яка є балансоутримувачем медичного обладнання. Наприклад: Комунальний заклад «Центральна міська лікарня м. Кіровограда».</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81">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82">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rPr/>
            </w:pPr>
            <w:r w:rsidDel="00000000" w:rsidR="00000000" w:rsidRPr="00000000">
              <w:rPr>
                <w:rtl w:val="0"/>
              </w:rPr>
              <w:t xml:space="preserve">organizationID</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rPr/>
            </w:pPr>
            <w:r w:rsidDel="00000000" w:rsidR="00000000" w:rsidRPr="00000000">
              <w:rPr>
                <w:rtl w:val="0"/>
              </w:rPr>
              <w:t xml:space="preserve">ЄДРПОУ балансоутримувача</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rPr/>
            </w:pPr>
            <w:r w:rsidDel="00000000" w:rsidR="00000000" w:rsidRPr="00000000">
              <w:rPr>
                <w:rtl w:val="0"/>
              </w:rPr>
              <w:t xml:space="preserve">Код ЄДРПОУ юридичної особи, яка є балансоутримувачем медичного обладнання. Наприклад: 01411082.</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86">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087">
            <w:pPr>
              <w:spacing w:line="240" w:lineRule="auto"/>
              <w:rPr/>
            </w:pPr>
            <w:r w:rsidDel="00000000" w:rsidR="00000000" w:rsidRPr="00000000">
              <w:rPr>
                <w:rtl w:val="0"/>
              </w:rPr>
              <w:t xml:space="preserve">Істина (true)</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ay4hfjxzl714"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8B">
      <w:pPr>
        <w:spacing w:after="200" w:lineRule="auto"/>
        <w:rPr/>
      </w:pPr>
      <w:r w:rsidDel="00000000" w:rsidR="00000000" w:rsidRPr="00000000">
        <w:rPr>
          <w:rtl w:val="0"/>
        </w:rPr>
      </w:r>
    </w:p>
    <w:p w:rsidR="00000000" w:rsidDel="00000000" w:rsidP="00000000" w:rsidRDefault="00000000" w:rsidRPr="00000000" w14:paraId="0000008C">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8D">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8E">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F">
            <w:pPr>
              <w:rPr/>
            </w:pPr>
            <w:r w:rsidDel="00000000" w:rsidR="00000000" w:rsidRPr="00000000">
              <w:rPr>
                <w:rtl w:val="0"/>
              </w:rPr>
              <w:t xml:space="preserve">Назва набору</w:t>
            </w:r>
          </w:p>
        </w:tc>
        <w:tc>
          <w:tcPr/>
          <w:p w:rsidR="00000000" w:rsidDel="00000000" w:rsidP="00000000" w:rsidRDefault="00000000" w:rsidRPr="00000000" w14:paraId="00000090">
            <w:pPr>
              <w:widowControl w:val="0"/>
              <w:rPr/>
            </w:pPr>
            <w:r w:rsidDel="00000000" w:rsidR="00000000" w:rsidRPr="00000000">
              <w:rPr>
                <w:rtl w:val="0"/>
              </w:rPr>
              <w:t xml:space="preserve">Дані про медичне обладнання комунальних закладів охорони здоров’я Полтавської міської ради</w:t>
            </w:r>
          </w:p>
        </w:tc>
      </w:tr>
      <w:tr>
        <w:trPr>
          <w:trHeight w:val="20" w:hRule="atLeast"/>
        </w:trPr>
        <w:tc>
          <w:tcPr/>
          <w:p w:rsidR="00000000" w:rsidDel="00000000" w:rsidP="00000000" w:rsidRDefault="00000000" w:rsidRPr="00000000" w14:paraId="00000091">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92">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93">
            <w:pPr>
              <w:rPr/>
            </w:pPr>
            <w:r w:rsidDel="00000000" w:rsidR="00000000" w:rsidRPr="00000000">
              <w:rPr>
                <w:rtl w:val="0"/>
              </w:rPr>
              <w:t xml:space="preserve">Частота оновлення</w:t>
            </w:r>
          </w:p>
        </w:tc>
        <w:tc>
          <w:tcPr/>
          <w:p w:rsidR="00000000" w:rsidDel="00000000" w:rsidP="00000000" w:rsidRDefault="00000000" w:rsidRPr="00000000" w14:paraId="00000094">
            <w:pPr>
              <w:widowControl w:val="0"/>
              <w:rPr/>
            </w:pPr>
            <w:r w:rsidDel="00000000" w:rsidR="00000000" w:rsidRPr="00000000">
              <w:rPr>
                <w:rtl w:val="0"/>
              </w:rPr>
              <w:t xml:space="preserve">Відразу після внесення змін</w:t>
            </w:r>
          </w:p>
        </w:tc>
      </w:tr>
      <w:tr>
        <w:tc>
          <w:tcPr/>
          <w:p w:rsidR="00000000" w:rsidDel="00000000" w:rsidP="00000000" w:rsidRDefault="00000000" w:rsidRPr="00000000" w14:paraId="00000095">
            <w:pPr>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96">
            <w:pPr>
              <w:widowControl w:val="0"/>
              <w:rPr/>
            </w:pPr>
            <w:r w:rsidDel="00000000" w:rsidR="00000000" w:rsidRPr="00000000">
              <w:rPr>
                <w:rtl w:val="0"/>
              </w:rPr>
              <w:t xml:space="preserve">Набір містить перелік медичного обладнання комунальних закладів охорони здоров’я Полтавської міської ради відповідно до інвентаризаційних описів основних засобів.</w:t>
            </w:r>
          </w:p>
        </w:tc>
      </w:tr>
      <w:tr>
        <w:trPr>
          <w:trHeight w:val="180" w:hRule="atLeast"/>
        </w:trPr>
        <w:tc>
          <w:tcPr/>
          <w:p w:rsidR="00000000" w:rsidDel="00000000" w:rsidP="00000000" w:rsidRDefault="00000000" w:rsidRPr="00000000" w14:paraId="00000097">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98">
            <w:pPr>
              <w:widowControl w:val="0"/>
              <w:rPr/>
            </w:pPr>
            <w:r w:rsidDel="00000000" w:rsidR="00000000" w:rsidRPr="00000000">
              <w:rPr>
                <w:rtl w:val="0"/>
              </w:rPr>
              <w:t xml:space="preserve">Закон України «Про місцеве самоврядування в Україні» від 21.05.1997 № 280/97-ВР, Закон України «Основи законодавства України про охорону здоров'я» від 19.11.1992 № 2801-XII, Наказ Мінфіну України «Про затвердження Положення про інвентаризацію активів та зобов’язань» від 02.09.2014 № 879</w:t>
            </w:r>
          </w:p>
        </w:tc>
      </w:tr>
      <w:tr>
        <w:trPr>
          <w:trHeight w:val="120" w:hRule="atLeast"/>
        </w:trPr>
        <w:tc>
          <w:tcPr/>
          <w:p w:rsidR="00000000" w:rsidDel="00000000" w:rsidP="00000000" w:rsidRDefault="00000000" w:rsidRPr="00000000" w14:paraId="00000099">
            <w:pPr>
              <w:rPr/>
            </w:pPr>
            <w:r w:rsidDel="00000000" w:rsidR="00000000" w:rsidRPr="00000000">
              <w:rPr>
                <w:rtl w:val="0"/>
              </w:rPr>
              <w:t xml:space="preserve">Ключові слова</w:t>
            </w:r>
          </w:p>
        </w:tc>
        <w:tc>
          <w:tcPr/>
          <w:p w:rsidR="00000000" w:rsidDel="00000000" w:rsidP="00000000" w:rsidRDefault="00000000" w:rsidRPr="00000000" w14:paraId="0000009A">
            <w:pPr>
              <w:widowControl w:val="0"/>
              <w:rPr/>
            </w:pPr>
            <w:r w:rsidDel="00000000" w:rsidR="00000000" w:rsidRPr="00000000">
              <w:rPr>
                <w:rtl w:val="0"/>
              </w:rPr>
              <w:t xml:space="preserve">комунальні заклади, поліклініка, обстеження, охорона здоров’я, медичне обладнання</w:t>
            </w:r>
          </w:p>
        </w:tc>
      </w:tr>
      <w:tr>
        <w:trPr>
          <w:trHeight w:val="460" w:hRule="atLeast"/>
        </w:trPr>
        <w:tc>
          <w:tcPr/>
          <w:p w:rsidR="00000000" w:rsidDel="00000000" w:rsidP="00000000" w:rsidRDefault="00000000" w:rsidRPr="00000000" w14:paraId="0000009B">
            <w:pPr>
              <w:rPr/>
            </w:pPr>
            <w:r w:rsidDel="00000000" w:rsidR="00000000" w:rsidRPr="00000000">
              <w:rPr>
                <w:rtl w:val="0"/>
              </w:rPr>
              <w:t xml:space="preserve">Відповідальна особа</w:t>
            </w:r>
          </w:p>
        </w:tc>
        <w:tc>
          <w:tcPr/>
          <w:p w:rsidR="00000000" w:rsidDel="00000000" w:rsidP="00000000" w:rsidRDefault="00000000" w:rsidRPr="00000000" w14:paraId="0000009C">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9D">
            <w:pPr>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9E">
            <w:pPr>
              <w:widowControl w:val="0"/>
              <w:rPr/>
            </w:pPr>
            <w:r w:rsidDel="00000000" w:rsidR="00000000" w:rsidRPr="00000000">
              <w:rPr>
                <w:rtl w:val="0"/>
              </w:rPr>
              <w:t xml:space="preserve">o.symonenko@example.gov.ua</w:t>
            </w:r>
          </w:p>
        </w:tc>
      </w:tr>
    </w:tbl>
    <w:p w:rsidR="00000000" w:rsidDel="00000000" w:rsidP="00000000" w:rsidRDefault="00000000" w:rsidRPr="00000000" w14:paraId="0000009F">
      <w:pPr>
        <w:spacing w:after="200" w:lineRule="auto"/>
        <w:jc w:val="center"/>
        <w:rPr/>
      </w:pPr>
      <w:r w:rsidDel="00000000" w:rsidR="00000000" w:rsidRPr="00000000">
        <w:rPr>
          <w:rtl w:val="0"/>
        </w:rPr>
      </w:r>
    </w:p>
    <w:p w:rsidR="00000000" w:rsidDel="00000000" w:rsidP="00000000" w:rsidRDefault="00000000" w:rsidRPr="00000000" w14:paraId="000000A0">
      <w:pPr>
        <w:spacing w:after="200" w:lineRule="auto"/>
        <w:jc w:val="center"/>
        <w:rPr>
          <w:b w:val="1"/>
        </w:rPr>
      </w:pPr>
      <w:r w:rsidDel="00000000" w:rsidR="00000000" w:rsidRPr="00000000">
        <w:rPr>
          <w:b w:val="1"/>
          <w:rtl w:val="0"/>
        </w:rPr>
        <w:t xml:space="preserve">Таблиця 3 — Приклад паспорта ресурсу Equipment</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A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A2">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3">
            <w:pPr>
              <w:rPr/>
            </w:pPr>
            <w:r w:rsidDel="00000000" w:rsidR="00000000" w:rsidRPr="00000000">
              <w:rPr>
                <w:rtl w:val="0"/>
              </w:rPr>
              <w:t xml:space="preserve">Назва ресурсу</w:t>
            </w:r>
          </w:p>
        </w:tc>
        <w:tc>
          <w:tcPr/>
          <w:p w:rsidR="00000000" w:rsidDel="00000000" w:rsidP="00000000" w:rsidRDefault="00000000" w:rsidRPr="00000000" w14:paraId="000000A4">
            <w:pPr>
              <w:rPr/>
            </w:pPr>
            <w:r w:rsidDel="00000000" w:rsidR="00000000" w:rsidRPr="00000000">
              <w:rPr>
                <w:rtl w:val="0"/>
              </w:rPr>
              <w:t xml:space="preserve">Equipment.xlsx</w:t>
            </w:r>
          </w:p>
        </w:tc>
      </w:tr>
      <w:tr>
        <w:tc>
          <w:tcPr/>
          <w:p w:rsidR="00000000" w:rsidDel="00000000" w:rsidP="00000000" w:rsidRDefault="00000000" w:rsidRPr="00000000" w14:paraId="000000A5">
            <w:pPr>
              <w:rPr/>
            </w:pPr>
            <w:r w:rsidDel="00000000" w:rsidR="00000000" w:rsidRPr="00000000">
              <w:rPr>
                <w:rtl w:val="0"/>
              </w:rPr>
              <w:t xml:space="preserve">Опис</w:t>
            </w:r>
          </w:p>
        </w:tc>
        <w:tc>
          <w:tcPr/>
          <w:p w:rsidR="00000000" w:rsidDel="00000000" w:rsidP="00000000" w:rsidRDefault="00000000" w:rsidRPr="00000000" w14:paraId="000000A6">
            <w:pPr>
              <w:widowControl w:val="0"/>
              <w:rPr/>
            </w:pPr>
            <w:r w:rsidDel="00000000" w:rsidR="00000000" w:rsidRPr="00000000">
              <w:rPr>
                <w:rtl w:val="0"/>
              </w:rPr>
              <w:t xml:space="preserve">Ресурс містить інвентарний, серійний і номер паспорта медичного обладнання, найменування, модель, виробника, рік виробництва, кількість, первісну вартість, суму зносу, балансову вартість, строк корисного використання, назву й код підгрупи медичних послуг, назву та ЄДРПОУ закладу охорони здоров’я. Кожним записом у таблиці є один об’єкт.</w:t>
            </w:r>
          </w:p>
        </w:tc>
      </w:tr>
      <w:tr>
        <w:trPr>
          <w:trHeight w:val="160" w:hRule="atLeast"/>
        </w:trPr>
        <w:tc>
          <w:tcPr/>
          <w:p w:rsidR="00000000" w:rsidDel="00000000" w:rsidP="00000000" w:rsidRDefault="00000000" w:rsidRPr="00000000" w14:paraId="000000A7">
            <w:pPr>
              <w:rPr/>
            </w:pPr>
            <w:r w:rsidDel="00000000" w:rsidR="00000000" w:rsidRPr="00000000">
              <w:rPr>
                <w:rtl w:val="0"/>
              </w:rPr>
              <w:t xml:space="preserve">Формат</w:t>
            </w:r>
          </w:p>
        </w:tc>
        <w:tc>
          <w:tcPr/>
          <w:p w:rsidR="00000000" w:rsidDel="00000000" w:rsidP="00000000" w:rsidRDefault="00000000" w:rsidRPr="00000000" w14:paraId="000000A8">
            <w:pPr>
              <w:widowControl w:val="0"/>
              <w:rPr/>
            </w:pPr>
            <w:r w:rsidDel="00000000" w:rsidR="00000000" w:rsidRPr="00000000">
              <w:rPr>
                <w:rtl w:val="0"/>
              </w:rPr>
              <w:t xml:space="preserve">XLSX</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health-care/equipment/Equipment.xlsx" TargetMode="External"/><Relationship Id="rId10" Type="http://schemas.openxmlformats.org/officeDocument/2006/relationships/hyperlink" Target="https://zakon.rada.gov.ua/laws/show/z1365-14" TargetMode="External"/><Relationship Id="rId13" Type="http://schemas.openxmlformats.org/officeDocument/2006/relationships/hyperlink" Target="https://github.com/tapas-opendata/decreet-835-mun/raw/master/health-care/equipment/Example.xlsx" TargetMode="External"/><Relationship Id="rId12" Type="http://schemas.openxmlformats.org/officeDocument/2006/relationships/hyperlink" Target="https://github.com/tapas-opendata/decreet-835-mun/raw/master/health-care/equipment/Equipment.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288-00" TargetMode="External"/><Relationship Id="rId15" Type="http://schemas.openxmlformats.org/officeDocument/2006/relationships/hyperlink" Target="https://github.com/tapas-opendata/decreet-835-mun/raw/master/health-care/equipment/Structure.xlsx" TargetMode="External"/><Relationship Id="rId14" Type="http://schemas.openxmlformats.org/officeDocument/2006/relationships/hyperlink" Target="https://github.com/tapas-opendata/decreet-835-mun/raw/master/health-care/equipment/Example.xlsx" TargetMode="External"/><Relationship Id="rId17" Type="http://schemas.openxmlformats.org/officeDocument/2006/relationships/hyperlink" Target="https://raw.githubusercontent.com/tapas-opendata/decreet-835-mun/master/health-care/equipment/Structure.json" TargetMode="External"/><Relationship Id="rId16" Type="http://schemas.openxmlformats.org/officeDocument/2006/relationships/hyperlink" Target="https://raw.githubusercontent.com/tapas-opendata/decreet-835-mun/master/health-care/equipment/Structure.csv"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18" Type="http://schemas.openxmlformats.org/officeDocument/2006/relationships/hyperlink" Target="https://docs.ckan.org/en/latest/maintaining/datastore.html" TargetMode="External"/><Relationship Id="rId7" Type="http://schemas.openxmlformats.org/officeDocument/2006/relationships/hyperlink" Target="https://zakon.rada.gov.ua/laws/show/2801-12" TargetMode="External"/><Relationship Id="rId8" Type="http://schemas.openxmlformats.org/officeDocument/2006/relationships/hyperlink" Target="https://zakon.rada.gov.ua/laws/show/z136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