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537apadrzb03" w:id="0"/>
      <w:bookmarkEnd w:id="0"/>
      <w:r w:rsidDel="00000000" w:rsidR="00000000" w:rsidRPr="00000000">
        <w:rPr>
          <w:rtl w:val="0"/>
        </w:rPr>
        <w:t xml:space="preserve">Відомості про лікарські засоби/препарати, придбані за бюджетні кошти, відомості про розподілення таких ліків між закладами охорони здоров’я та їх залишки в кожному з них</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Наказ МОЗ від 26.04.2017 р. №459 “Про затвердження Порядку розміщення на інформаційних стендах у закладах охорони здоров’я інформації щодо наявності лікарських засобів, витратних матеріалів, медичних виробів та харчових продуктів для спеціального дієтичного споживання, отриманих за кошти державного та місцевого бюджетів, благодійної діяльності і гуманітарної допомоги”</w:t>
              </w:r>
            </w:hyperlink>
            <w:r w:rsidDel="00000000" w:rsidR="00000000" w:rsidRPr="00000000">
              <w:rPr>
                <w:rtl w:val="0"/>
              </w:rPr>
              <w:t xml:space="preserve">, </w:t>
            </w:r>
            <w:hyperlink r:id="rId7">
              <w:r w:rsidDel="00000000" w:rsidR="00000000" w:rsidRPr="00000000">
                <w:rPr>
                  <w:color w:val="1155cc"/>
                  <w:u w:val="single"/>
                  <w:rtl w:val="0"/>
                </w:rPr>
                <w:t xml:space="preserve">Наказ МОЗ «Про здійснення заходів з контролю використання лікарських засобів та медичних виробів, закуплених за бюджетні кошти» від 02.06.2016 № 509</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Заклади охорони здоров’я узагальнюють відомості про рух лікарських засобів та медичних виробів. Інформація оприлюднюється на веб-сайтах та стендах закладів відповідно до Наказів МОЗ від 02.06.2016 № 509 та від 26.04.2017 р. №459.</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Актуалізація даних про залишки лікарських засобів, видання наказів про розподіл лікарських засобів та медичних виробів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Більш як один раз на день (у разі автоматичного оприлюднення), щотижня (у випадку ручного оновлення).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hyperlink r:id="rId8">
        <w:r w:rsidDel="00000000" w:rsidR="00000000" w:rsidRPr="00000000">
          <w:rPr>
            <w:color w:val="1155cc"/>
            <w:u w:val="single"/>
            <w:rtl w:val="0"/>
          </w:rPr>
          <w:t xml:space="preserve">Наказом МОЗ від 26.04.2017 р. №459</w:t>
        </w:r>
      </w:hyperlink>
      <w:r w:rsidDel="00000000" w:rsidR="00000000" w:rsidRPr="00000000">
        <w:rPr>
          <w:rtl w:val="0"/>
        </w:rPr>
        <w:t xml:space="preserve"> затверджені вимоги щодо публікації інформації про наявність лікарських засобів та витратних матеріалів на інформаційних стендах у закладах охорони здоров’я державної та комунальної форм власності.</w:t>
      </w:r>
    </w:p>
    <w:p w:rsidR="00000000" w:rsidDel="00000000" w:rsidP="00000000" w:rsidRDefault="00000000" w:rsidRPr="00000000" w14:paraId="00000013">
      <w:pPr>
        <w:spacing w:line="276" w:lineRule="auto"/>
        <w:rPr/>
      </w:pPr>
      <w:hyperlink r:id="rId9">
        <w:r w:rsidDel="00000000" w:rsidR="00000000" w:rsidRPr="00000000">
          <w:rPr>
            <w:color w:val="1155cc"/>
            <w:u w:val="single"/>
            <w:rtl w:val="0"/>
          </w:rPr>
          <w:t xml:space="preserve">Наказ МОЗ від 02.06.2016 № 509</w:t>
        </w:r>
      </w:hyperlink>
      <w:r w:rsidDel="00000000" w:rsidR="00000000" w:rsidRPr="00000000">
        <w:rPr>
          <w:rtl w:val="0"/>
        </w:rPr>
        <w:t xml:space="preserve"> регулює оприлюднення інформації структурними підрозділами ОДА та КМДА, закладами охорони здоров'я, що належать до сфери управління МОЗ і які є одержувачами лікарських засобів та медичних виробів, закуплених за бюджетні кошти. Дані розпорядники мають забезпечувати на своїх офіційних веб-сайтах щотижневе оновлення наступної інформації:</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щодо потреби, стану забезпечення, наявних залишків лікарських засобів та медичних виробів, що закуповуються за бюджетні кошти;</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перелік закладів охорони здоров’я відповідного регіону, що є кінцевим отримувачем лікарських засобів та медичних виробів;</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накази про розподіл лікарських засобів та медичних виробів серед закладів охорони здоров’я підпорядкованої адміністративно-територіальної одиниці.</w:t>
      </w:r>
    </w:p>
    <w:p w:rsidR="00000000" w:rsidDel="00000000" w:rsidP="00000000" w:rsidRDefault="00000000" w:rsidRPr="00000000" w14:paraId="00000017">
      <w:pPr>
        <w:pStyle w:val="Heading1"/>
        <w:spacing w:line="276" w:lineRule="auto"/>
        <w:rPr/>
      </w:pPr>
      <w:bookmarkStart w:colFirst="0" w:colLast="0" w:name="_3bilb21ck0xe"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8">
      <w:pPr>
        <w:pStyle w:val="Heading2"/>
        <w:spacing w:line="276" w:lineRule="auto"/>
        <w:rPr/>
      </w:pPr>
      <w:bookmarkStart w:colFirst="0" w:colLast="0" w:name="_iusxn41hrjq1" w:id="4"/>
      <w:bookmarkEnd w:id="4"/>
      <w:r w:rsidDel="00000000" w:rsidR="00000000" w:rsidRPr="00000000">
        <w:rPr>
          <w:rtl w:val="0"/>
        </w:rPr>
        <w:t xml:space="preserve">3.1. Оприлюднення даних з систем обліку</w:t>
      </w:r>
    </w:p>
    <w:p w:rsidR="00000000" w:rsidDel="00000000" w:rsidP="00000000" w:rsidRDefault="00000000" w:rsidRPr="00000000" w14:paraId="00000019">
      <w:pPr>
        <w:spacing w:after="200" w:line="276" w:lineRule="auto"/>
        <w:rPr/>
      </w:pPr>
      <w:r w:rsidDel="00000000" w:rsidR="00000000" w:rsidRPr="00000000">
        <w:rPr>
          <w:rtl w:val="0"/>
        </w:rPr>
        <w:t xml:space="preserve">Для обліку залишків лікарських засобів та медичних виробів заклади охорони здоров’я можуть використовувати електронні системи, наприклад, </w:t>
      </w:r>
      <w:hyperlink r:id="rId10">
        <w:r w:rsidDel="00000000" w:rsidR="00000000" w:rsidRPr="00000000">
          <w:rPr>
            <w:color w:val="1155cc"/>
            <w:u w:val="single"/>
            <w:rtl w:val="0"/>
          </w:rPr>
          <w:t xml:space="preserve">Є ЛІКИ</w:t>
        </w:r>
      </w:hyperlink>
      <w:r w:rsidDel="00000000" w:rsidR="00000000" w:rsidRPr="00000000">
        <w:rPr>
          <w:rtl w:val="0"/>
        </w:rPr>
        <w:t xml:space="preserve"> й</w:t>
      </w:r>
      <w:r w:rsidDel="00000000" w:rsidR="00000000" w:rsidRPr="00000000">
        <w:rPr>
          <w:rtl w:val="0"/>
        </w:rPr>
        <w:t xml:space="preserve"> </w:t>
      </w:r>
      <w:hyperlink r:id="rId11">
        <w:r w:rsidDel="00000000" w:rsidR="00000000" w:rsidRPr="00000000">
          <w:rPr>
            <w:color w:val="1155cc"/>
            <w:u w:val="single"/>
            <w:rtl w:val="0"/>
          </w:rPr>
          <w:t xml:space="preserve">Доступні ліки</w:t>
        </w:r>
      </w:hyperlink>
      <w:r w:rsidDel="00000000" w:rsidR="00000000" w:rsidRPr="00000000">
        <w:rPr>
          <w:rtl w:val="0"/>
        </w:rPr>
        <w:t xml:space="preserve">. Необхідно враховувати, що інформація про залишки лікарських засобів на веб-сторінці не є машиночитаною. Тому оприлюднення посилання на веб-сервіс в якості набору не допускається.</w:t>
      </w:r>
    </w:p>
    <w:p w:rsidR="00000000" w:rsidDel="00000000" w:rsidP="00000000" w:rsidRDefault="00000000" w:rsidRPr="00000000" w14:paraId="0000001A">
      <w:pPr>
        <w:spacing w:after="200" w:line="276" w:lineRule="auto"/>
        <w:rPr/>
      </w:pPr>
      <w:r w:rsidDel="00000000" w:rsidR="00000000" w:rsidRPr="00000000">
        <w:rPr>
          <w:rtl w:val="0"/>
        </w:rPr>
        <w:t xml:space="preserve">Відповідальним особам необхідно експортувати дані у відкритих машиночитаних форматах (CSV, JSON, XML) або форматах електронних таблиць (XLS, XLSX, ODS). Також можливе оприлюднення даних через інтерфейс прикладного програмування (server-side web API). Вимоги щодо можливості експорту або наявності відкритого API мають бути включені в специфікації, технічні завдання та інші документи, які використовуються під час упровадження електронних сервісів.</w:t>
      </w:r>
      <w:r w:rsidDel="00000000" w:rsidR="00000000" w:rsidRPr="00000000">
        <w:rPr>
          <w:rtl w:val="0"/>
        </w:rPr>
      </w:r>
    </w:p>
    <w:p w:rsidR="00000000" w:rsidDel="00000000" w:rsidP="00000000" w:rsidRDefault="00000000" w:rsidRPr="00000000" w14:paraId="0000001B">
      <w:pPr>
        <w:spacing w:after="200" w:line="276" w:lineRule="auto"/>
        <w:rPr/>
      </w:pPr>
      <w:r w:rsidDel="00000000" w:rsidR="00000000" w:rsidRPr="00000000">
        <w:rPr>
          <w:rtl w:val="0"/>
        </w:rPr>
        <w:t xml:space="preserve">У випадку </w:t>
      </w:r>
      <w:r w:rsidDel="00000000" w:rsidR="00000000" w:rsidRPr="00000000">
        <w:rPr>
          <w:rtl w:val="0"/>
        </w:rPr>
        <w:t xml:space="preserve">системи </w:t>
      </w:r>
      <w:hyperlink r:id="rId12">
        <w:r w:rsidDel="00000000" w:rsidR="00000000" w:rsidRPr="00000000">
          <w:rPr>
            <w:color w:val="1155cc"/>
            <w:u w:val="single"/>
            <w:rtl w:val="0"/>
          </w:rPr>
          <w:t xml:space="preserve">Є ЛІКИ</w:t>
        </w:r>
      </w:hyperlink>
      <w:r w:rsidDel="00000000" w:rsidR="00000000" w:rsidRPr="00000000">
        <w:rPr>
          <w:rtl w:val="0"/>
        </w:rPr>
        <w:t xml:space="preserve"> найкращим для експорту даних</w:t>
      </w:r>
      <w:r w:rsidDel="00000000" w:rsidR="00000000" w:rsidRPr="00000000">
        <w:rPr>
          <w:rtl w:val="0"/>
        </w:rPr>
        <w:t xml:space="preserve"> </w:t>
      </w:r>
      <w:hyperlink r:id="rId13">
        <w:r w:rsidDel="00000000" w:rsidR="00000000" w:rsidRPr="00000000">
          <w:rPr>
            <w:color w:val="1155cc"/>
            <w:u w:val="single"/>
            <w:rtl w:val="0"/>
          </w:rPr>
          <w:t xml:space="preserve">системний формат таблиці (варіант №2)</w:t>
        </w:r>
      </w:hyperlink>
      <w:r w:rsidDel="00000000" w:rsidR="00000000" w:rsidRPr="00000000">
        <w:rPr>
          <w:rtl w:val="0"/>
        </w:rPr>
        <w:t xml:space="preserve">. Також можливе оприлюднення даних через </w:t>
      </w:r>
      <w:hyperlink r:id="rId14">
        <w:r w:rsidDel="00000000" w:rsidR="00000000" w:rsidRPr="00000000">
          <w:rPr>
            <w:color w:val="1155cc"/>
            <w:u w:val="single"/>
            <w:rtl w:val="0"/>
          </w:rPr>
          <w:t xml:space="preserve">API</w:t>
        </w:r>
      </w:hyperlink>
      <w:r w:rsidDel="00000000" w:rsidR="00000000" w:rsidRPr="00000000">
        <w:rPr>
          <w:rtl w:val="0"/>
        </w:rPr>
        <w:t xml:space="preserve"> сервісу</w:t>
      </w:r>
      <w:r w:rsidDel="00000000" w:rsidR="00000000" w:rsidRPr="00000000">
        <w:rPr>
          <w:rtl w:val="0"/>
        </w:rPr>
        <w:t xml:space="preserve">. Наприклад, кінцева точка (посилання) для отримання даних про залишки ліків у певному закладі матиме вигляд: </w:t>
      </w:r>
    </w:p>
    <w:p w:rsidR="00000000" w:rsidDel="00000000" w:rsidP="00000000" w:rsidRDefault="00000000" w:rsidRPr="00000000" w14:paraId="0000001C">
      <w:pPr>
        <w:spacing w:after="200" w:line="276" w:lineRule="auto"/>
        <w:ind w:left="425.19685039370086" w:firstLine="0"/>
        <w:rPr/>
      </w:pPr>
      <w:r w:rsidDel="00000000" w:rsidR="00000000" w:rsidRPr="00000000">
        <w:rPr>
          <w:rFonts w:ascii="PT Mono" w:cs="PT Mono" w:eastAsia="PT Mono" w:hAnsi="PT Mono"/>
          <w:rtl w:val="0"/>
        </w:rPr>
        <w:t xml:space="preserve">https://eliky.in.ua/api/availability/</w:t>
      </w:r>
      <w:r w:rsidDel="00000000" w:rsidR="00000000" w:rsidRPr="00000000">
        <w:rPr>
          <w:rFonts w:ascii="PT Mono" w:cs="PT Mono" w:eastAsia="PT Mono" w:hAnsi="PT Mono"/>
          <w:b w:val="1"/>
          <w:rtl w:val="0"/>
        </w:rPr>
        <w:t xml:space="preserve">Ідентифікатор</w:t>
      </w:r>
      <w:r w:rsidDel="00000000" w:rsidR="00000000" w:rsidRPr="00000000">
        <w:rPr>
          <w:rFonts w:ascii="PT Mono" w:cs="PT Mono" w:eastAsia="PT Mono" w:hAnsi="PT Mono"/>
          <w:b w:val="1"/>
          <w:rtl w:val="0"/>
        </w:rPr>
        <w:t xml:space="preserve"> закладу з системи</w:t>
      </w:r>
      <w:r w:rsidDel="00000000" w:rsidR="00000000" w:rsidRPr="00000000">
        <w:rPr>
          <w:rFonts w:ascii="PT Mono" w:cs="PT Mono" w:eastAsia="PT Mono" w:hAnsi="PT Mono"/>
          <w:rtl w:val="0"/>
        </w:rPr>
        <w:t xml:space="preserve">?api_key=</w:t>
      </w:r>
      <w:r w:rsidDel="00000000" w:rsidR="00000000" w:rsidRPr="00000000">
        <w:rPr>
          <w:rFonts w:ascii="PT Mono" w:cs="PT Mono" w:eastAsia="PT Mono" w:hAnsi="PT Mono"/>
          <w:b w:val="1"/>
          <w:rtl w:val="0"/>
        </w:rPr>
        <w:t xml:space="preserve">Ключ</w:t>
      </w:r>
      <w:r w:rsidDel="00000000" w:rsidR="00000000" w:rsidRPr="00000000">
        <w:rPr>
          <w:rFonts w:ascii="PT Mono" w:cs="PT Mono" w:eastAsia="PT Mono" w:hAnsi="PT Mono"/>
          <w:rtl w:val="0"/>
        </w:rPr>
        <w:t xml:space="preserve">&amp;page</w:t>
      </w:r>
      <w:r w:rsidDel="00000000" w:rsidR="00000000" w:rsidRPr="00000000">
        <w:rPr>
          <w:rFonts w:ascii="PT Mono" w:cs="PT Mono" w:eastAsia="PT Mono" w:hAnsi="PT Mono"/>
          <w:rtl w:val="0"/>
        </w:rPr>
        <w:t xml:space="preserve">=</w:t>
      </w:r>
      <w:r w:rsidDel="00000000" w:rsidR="00000000" w:rsidRPr="00000000">
        <w:rPr>
          <w:rFonts w:ascii="PT Mono" w:cs="PT Mono" w:eastAsia="PT Mono" w:hAnsi="PT Mono"/>
          <w:b w:val="1"/>
          <w:rtl w:val="0"/>
        </w:rPr>
        <w:t xml:space="preserve">Ціле число</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Наразі API системи є закритим і вимагає ідентифікації за допомогою параметру «api_key».</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pStyle w:val="Heading2"/>
        <w:spacing w:line="276" w:lineRule="auto"/>
        <w:rPr/>
      </w:pPr>
      <w:bookmarkStart w:colFirst="0" w:colLast="0" w:name="_rbwdei78gaw4" w:id="5"/>
      <w:bookmarkEnd w:id="5"/>
      <w:r w:rsidDel="00000000" w:rsidR="00000000" w:rsidRPr="00000000">
        <w:rPr>
          <w:rtl w:val="0"/>
        </w:rPr>
        <w:t xml:space="preserve">3.2. Оприлюднення даних в таблицях </w:t>
      </w:r>
    </w:p>
    <w:p w:rsidR="00000000" w:rsidDel="00000000" w:rsidP="00000000" w:rsidRDefault="00000000" w:rsidRPr="00000000" w14:paraId="00000020">
      <w:pPr>
        <w:spacing w:line="276" w:lineRule="auto"/>
        <w:rPr/>
      </w:pPr>
      <w:r w:rsidDel="00000000" w:rsidR="00000000" w:rsidRPr="00000000">
        <w:rPr>
          <w:rtl w:val="0"/>
        </w:rPr>
        <w:t xml:space="preserve">Якщо розпорядник використовує для обліку залишків лікарських засобів та медичних виробів електронні таблиці, рекомендовано використовувати такі структури ресурсів (таблиць)</w:t>
      </w:r>
    </w:p>
    <w:p w:rsidR="00000000" w:rsidDel="00000000" w:rsidP="00000000" w:rsidRDefault="00000000" w:rsidRPr="00000000" w14:paraId="00000021">
      <w:pPr>
        <w:numPr>
          <w:ilvl w:val="0"/>
          <w:numId w:val="1"/>
        </w:numPr>
        <w:spacing w:line="276" w:lineRule="auto"/>
        <w:ind w:left="720" w:hanging="360"/>
      </w:pPr>
      <w:r w:rsidDel="00000000" w:rsidR="00000000" w:rsidRPr="00000000">
        <w:rPr>
          <w:b w:val="1"/>
          <w:rtl w:val="0"/>
        </w:rPr>
        <w:t xml:space="preserve">Remains </w:t>
      </w:r>
      <w:r w:rsidDel="00000000" w:rsidR="00000000" w:rsidRPr="00000000">
        <w:rPr>
          <w:rtl w:val="0"/>
        </w:rPr>
        <w:t xml:space="preserve">— дані щодо залишків лікарських засобів та медичних виробів;</w:t>
      </w:r>
    </w:p>
    <w:p w:rsidR="00000000" w:rsidDel="00000000" w:rsidP="00000000" w:rsidRDefault="00000000" w:rsidRPr="00000000" w14:paraId="00000022">
      <w:pPr>
        <w:numPr>
          <w:ilvl w:val="0"/>
          <w:numId w:val="1"/>
        </w:numPr>
        <w:spacing w:line="276" w:lineRule="auto"/>
        <w:ind w:left="720" w:hanging="360"/>
      </w:pPr>
      <w:r w:rsidDel="00000000" w:rsidR="00000000" w:rsidRPr="00000000">
        <w:rPr>
          <w:b w:val="1"/>
          <w:rtl w:val="0"/>
        </w:rPr>
        <w:t xml:space="preserve">Distribution</w:t>
      </w:r>
      <w:r w:rsidDel="00000000" w:rsidR="00000000" w:rsidRPr="00000000">
        <w:rPr>
          <w:rtl w:val="0"/>
        </w:rPr>
        <w:t xml:space="preserve"> — дані про лікарські засоби та медичні вироби, що були розподілені відповідно до наказів.</w:t>
      </w:r>
    </w:p>
    <w:p w:rsidR="00000000" w:rsidDel="00000000" w:rsidP="00000000" w:rsidRDefault="00000000" w:rsidRPr="00000000" w14:paraId="00000023">
      <w:pPr>
        <w:pStyle w:val="Heading3"/>
        <w:rPr/>
      </w:pPr>
      <w:bookmarkStart w:colFirst="0" w:colLast="0" w:name="_olkspvtwghyb" w:id="6"/>
      <w:bookmarkEnd w:id="6"/>
      <w:r w:rsidDel="00000000" w:rsidR="00000000" w:rsidRPr="00000000">
        <w:rPr>
          <w:rtl w:val="0"/>
        </w:rPr>
        <w:t xml:space="preserve">3.2.1. Дані щодо залишків лікарських засобів та медичних виробів (ресурс Remains)</w:t>
      </w:r>
    </w:p>
    <w:p w:rsidR="00000000" w:rsidDel="00000000" w:rsidP="00000000" w:rsidRDefault="00000000" w:rsidRPr="00000000" w14:paraId="00000024">
      <w:pPr>
        <w:spacing w:line="276" w:lineRule="auto"/>
        <w:ind w:left="0" w:firstLine="0"/>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rtl w:val="0"/>
              </w:rPr>
              <w:t xml:space="preserve">Remains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shd w:fill="f4cccc" w:val="clear"/>
              </w:rPr>
            </w:pPr>
            <w:r w:rsidDel="00000000" w:rsidR="00000000" w:rsidRPr="00000000">
              <w:rPr>
                <w:rtl w:val="0"/>
              </w:rPr>
              <w:t xml:space="preserve">Відомості про залишок одного лікарського засобу або медичного виробу</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hyperlink r:id="rId15">
              <w:r w:rsidDel="00000000" w:rsidR="00000000" w:rsidRPr="00000000">
                <w:rPr>
                  <w:color w:val="1155cc"/>
                  <w:u w:val="single"/>
                  <w:rtl w:val="0"/>
                </w:rPr>
                <w:t xml:space="preserve">Remains</w:t>
              </w:r>
            </w:hyperlink>
            <w:hyperlink r:id="rId1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rPr/>
            </w:pPr>
            <w:hyperlink r:id="rId17">
              <w:r w:rsidDel="00000000" w:rsidR="00000000" w:rsidRPr="00000000">
                <w:rPr>
                  <w:color w:val="1155cc"/>
                  <w:u w:val="single"/>
                  <w:rtl w:val="0"/>
                </w:rPr>
                <w:t xml:space="preserve">Example</w:t>
              </w:r>
            </w:hyperlink>
            <w:hyperlink r:id="rId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pPr>
            <w:hyperlink r:id="rId19">
              <w:r w:rsidDel="00000000" w:rsidR="00000000" w:rsidRPr="00000000">
                <w:rPr>
                  <w:color w:val="1155cc"/>
                  <w:u w:val="single"/>
                  <w:rtl w:val="0"/>
                </w:rPr>
                <w:t xml:space="preserve">Structure.xlsx</w:t>
              </w:r>
            </w:hyperlink>
            <w:r w:rsidDel="00000000" w:rsidR="00000000" w:rsidRPr="00000000">
              <w:rPr>
                <w:rtl w:val="0"/>
              </w:rPr>
              <w:t xml:space="preserve">, </w:t>
            </w:r>
            <w:hyperlink r:id="rId20">
              <w:r w:rsidDel="00000000" w:rsidR="00000000" w:rsidRPr="00000000">
                <w:rPr>
                  <w:color w:val="1155cc"/>
                  <w:u w:val="single"/>
                  <w:rtl w:val="0"/>
                </w:rPr>
                <w:t xml:space="preserve">Structure.csv</w:t>
              </w:r>
            </w:hyperlink>
            <w:r w:rsidDel="00000000" w:rsidR="00000000" w:rsidRPr="00000000">
              <w:rPr>
                <w:rtl w:val="0"/>
              </w:rPr>
              <w:t xml:space="preserve">, </w:t>
            </w:r>
            <w:hyperlink r:id="rId2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35">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after="200" w:line="276" w:lineRule="auto"/>
        <w:jc w:val="center"/>
        <w:rPr>
          <w:b w:val="1"/>
        </w:rPr>
      </w:pPr>
      <w:r w:rsidDel="00000000" w:rsidR="00000000" w:rsidRPr="00000000">
        <w:rPr>
          <w:b w:val="1"/>
          <w:rtl w:val="0"/>
        </w:rPr>
        <w:t xml:space="preserve">Таблиця 1 — Структура таблиці (ресурсу) </w:t>
      </w:r>
      <w:r w:rsidDel="00000000" w:rsidR="00000000" w:rsidRPr="00000000">
        <w:rPr>
          <w:b w:val="1"/>
          <w:rtl w:val="0"/>
        </w:rPr>
        <w:t xml:space="preserve">Remains</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Номер реєстраційного посвідчення лікарського засобу відповідно до Державного реєстру лікарських засобів України. Наприклад: UA/6249/01/02.</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name</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Торговельна назва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Торговельна назва засобу/препарату відповідно до Державного реєстру лікарських засобів України</w:t>
            </w:r>
            <w:r w:rsidDel="00000000" w:rsidR="00000000" w:rsidRPr="00000000">
              <w:rPr>
                <w:rtl w:val="0"/>
              </w:rPr>
              <w:t xml:space="preserve">. Наприклад: АНАЛЬГІН</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type</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Форма випуску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Форма випуску відповідно до Наказу МОЗ України від 20.07.2006 № 500. Наприклад: Розчин для ін'єкцій.</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Істина (true)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quantity</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Кількість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Кількість (залишок) лікарського засобу. Число вказується без зазначення одиниці вимірювання («шт.», «мл»). Наприклад: 20.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rPr/>
            </w:pPr>
            <w:r w:rsidDel="00000000" w:rsidR="00000000" w:rsidRPr="00000000">
              <w:rPr>
                <w:rtl w:val="0"/>
              </w:rPr>
              <w:t xml:space="preserve">unitName</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rPr/>
            </w:pPr>
            <w:r w:rsidDel="00000000" w:rsidR="00000000" w:rsidRPr="00000000">
              <w:rPr>
                <w:rtl w:val="0"/>
              </w:rPr>
              <w:t xml:space="preserve">Одиниця виміру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rPr/>
            </w:pPr>
            <w:r w:rsidDel="00000000" w:rsidR="00000000" w:rsidRPr="00000000">
              <w:rPr>
                <w:rtl w:val="0"/>
              </w:rPr>
              <w:t xml:space="preserve">Одиниця виміру лікарського засобу може мати одне зі значень: каністра, мішок, штука, таблетка, флакон, капсула, упаковка, </w:t>
            </w:r>
            <w:r w:rsidDel="00000000" w:rsidR="00000000" w:rsidRPr="00000000">
              <w:rPr>
                <w:rtl w:val="0"/>
              </w:rPr>
              <w:t xml:space="preserve">МО</w:t>
            </w:r>
            <w:r w:rsidDel="00000000" w:rsidR="00000000" w:rsidRPr="00000000">
              <w:rPr>
                <w:rtl w:val="0"/>
              </w:rPr>
              <w:t xml:space="preserve">, ампула, </w:t>
            </w:r>
            <w:r w:rsidDel="00000000" w:rsidR="00000000" w:rsidRPr="00000000">
              <w:rPr>
                <w:rtl w:val="0"/>
              </w:rPr>
              <w:t xml:space="preserve">балон</w:t>
            </w:r>
            <w:r w:rsidDel="00000000" w:rsidR="00000000" w:rsidRPr="00000000">
              <w:rPr>
                <w:rtl w:val="0"/>
              </w:rPr>
              <w:t xml:space="preserve">, доза, кілограм, грам, комплект, літр, рулон, метр, набір, пакунок, ящик.</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rPr/>
            </w:pPr>
            <w:r w:rsidDel="00000000" w:rsidR="00000000" w:rsidRPr="00000000">
              <w:rPr>
                <w:rtl w:val="0"/>
              </w:rPr>
              <w:t xml:space="preserve">Істина (true)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shelfLifeDate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Строк придатності</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rPr/>
            </w:pPr>
            <w:r w:rsidDel="00000000" w:rsidR="00000000" w:rsidRPr="00000000">
              <w:rPr>
                <w:rtl w:val="0"/>
              </w:rPr>
              <w:t xml:space="preserve">Дата, завершення строку придатності лікарського засобу у форматі ISO 8601 (</w:t>
            </w:r>
            <w:r w:rsidDel="00000000" w:rsidR="00000000" w:rsidRPr="00000000">
              <w:rPr>
                <w:rtl w:val="0"/>
              </w:rPr>
              <w:t xml:space="preserve">рррр</w:t>
            </w:r>
            <w:r w:rsidDel="00000000" w:rsidR="00000000" w:rsidRPr="00000000">
              <w:rPr>
                <w:rtl w:val="0"/>
              </w:rPr>
              <w:t xml:space="preserve">-мм-дд). Наприклад: 2021-05-30.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dateModified</w:t>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rPr/>
            </w:pPr>
            <w:r w:rsidDel="00000000" w:rsidR="00000000" w:rsidRPr="00000000">
              <w:rPr>
                <w:rtl w:val="0"/>
              </w:rPr>
              <w:t xml:space="preserve">Дата</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rPr/>
            </w:pPr>
            <w:r w:rsidDel="00000000" w:rsidR="00000000" w:rsidRPr="00000000">
              <w:rPr>
                <w:rtl w:val="0"/>
              </w:rPr>
              <w:t xml:space="preserve">Дата, на яку подається залишок лікарського засобу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organizationIdentifier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Ідентифікатор закладу</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Код ЄДРПОУ закладу охорони здоров’я.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5">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organizationName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rPr/>
            </w:pPr>
            <w:r w:rsidDel="00000000" w:rsidR="00000000" w:rsidRPr="00000000">
              <w:rPr>
                <w:rtl w:val="0"/>
              </w:rPr>
              <w:t xml:space="preserve">Назва закладу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Назва закладу охорони здоров’я. Наприклад: Центральна міська лікарня м. Черкас.</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rPr/>
            </w:pPr>
            <w:r w:rsidDel="00000000" w:rsidR="00000000" w:rsidRPr="00000000">
              <w:rPr>
                <w:rtl w:val="0"/>
              </w:rPr>
              <w:t xml:space="preserve">sourceType</w:t>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rPr/>
            </w:pPr>
            <w:r w:rsidDel="00000000" w:rsidR="00000000" w:rsidRPr="00000000">
              <w:rPr>
                <w:rtl w:val="0"/>
              </w:rPr>
              <w:t xml:space="preserve">Джерело отримання</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D">
            <w:pPr>
              <w:widowControl w:val="0"/>
              <w:rPr/>
            </w:pPr>
            <w:r w:rsidDel="00000000" w:rsidR="00000000" w:rsidRPr="00000000">
              <w:rPr>
                <w:rtl w:val="0"/>
              </w:rPr>
              <w:t xml:space="preserve">Джерело отримання </w:t>
            </w:r>
            <w:r w:rsidDel="00000000" w:rsidR="00000000" w:rsidRPr="00000000">
              <w:rPr>
                <w:rtl w:val="0"/>
              </w:rPr>
              <w:t xml:space="preserve">засобу</w:t>
            </w:r>
            <w:r w:rsidDel="00000000" w:rsidR="00000000" w:rsidRPr="00000000">
              <w:rPr>
                <w:rtl w:val="0"/>
              </w:rPr>
              <w:t xml:space="preserve"> може мати одне зі значень: кошти державного бюджету, кошти місцевого бюджету, благодійна допомога, гуманітарна допомога. Наприклад: кошти державного бюджету.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widowControl w:val="0"/>
              <w:rPr/>
            </w:pPr>
            <w:r w:rsidDel="00000000" w:rsidR="00000000" w:rsidRPr="00000000">
              <w:rPr>
                <w:rtl w:val="0"/>
              </w:rPr>
              <w:t xml:space="preserve">Істина (true)</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color w:val="000000"/>
        </w:rPr>
      </w:pPr>
      <w:bookmarkStart w:colFirst="0" w:colLast="0" w:name="_w1q6lbye6oa7" w:id="7"/>
      <w:bookmarkEnd w:id="7"/>
      <w:r w:rsidDel="00000000" w:rsidR="00000000" w:rsidRPr="00000000">
        <w:rPr>
          <w:color w:val="000000"/>
          <w:rtl w:val="0"/>
        </w:rPr>
        <w:t xml:space="preserve">3.2.2. Дані про лікарські засоби та медичні вироби, що були розподілені відповідно до наказів (ресурс Distribution)</w:t>
      </w:r>
    </w:p>
    <w:p w:rsidR="00000000" w:rsidDel="00000000" w:rsidP="00000000" w:rsidRDefault="00000000" w:rsidRPr="00000000" w14:paraId="00000072">
      <w:pPr>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Distribution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Один лікарський засіб або медичний виріб, що був розподілений відповідно до наказу.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Розміщення нової версії ресурсу, можливе створення нового ресурсу щомісяця, кварталу,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hyperlink r:id="rId23">
              <w:r w:rsidDel="00000000" w:rsidR="00000000" w:rsidRPr="00000000">
                <w:rPr>
                  <w:color w:val="1155cc"/>
                  <w:u w:val="single"/>
                  <w:rtl w:val="0"/>
                </w:rPr>
                <w:t xml:space="preserve">Distribution.xlsx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rPr/>
            </w:pPr>
            <w:hyperlink r:id="rId24">
              <w:r w:rsidDel="00000000" w:rsidR="00000000" w:rsidRPr="00000000">
                <w:rPr>
                  <w:color w:val="1155cc"/>
                  <w:u w:val="single"/>
                  <w:rtl w:val="0"/>
                </w:rPr>
                <w:t xml:space="preserve">Example</w:t>
              </w:r>
            </w:hyperlink>
            <w:hyperlink r:id="rId2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rPr/>
            </w:pPr>
            <w:hyperlink r:id="rId26">
              <w:r w:rsidDel="00000000" w:rsidR="00000000" w:rsidRPr="00000000">
                <w:rPr>
                  <w:color w:val="1155cc"/>
                  <w:u w:val="single"/>
                  <w:rtl w:val="0"/>
                </w:rPr>
                <w:t xml:space="preserve">Structure.xlsx</w:t>
              </w:r>
            </w:hyperlink>
            <w:r w:rsidDel="00000000" w:rsidR="00000000" w:rsidRPr="00000000">
              <w:rPr>
                <w:rtl w:val="0"/>
              </w:rPr>
              <w:t xml:space="preserve">, </w:t>
            </w:r>
            <w:hyperlink r:id="rId27">
              <w:r w:rsidDel="00000000" w:rsidR="00000000" w:rsidRPr="00000000">
                <w:rPr>
                  <w:color w:val="1155cc"/>
                  <w:u w:val="single"/>
                  <w:rtl w:val="0"/>
                </w:rPr>
                <w:t xml:space="preserve">Structure.csv</w:t>
              </w:r>
            </w:hyperlink>
            <w:r w:rsidDel="00000000" w:rsidR="00000000" w:rsidRPr="00000000">
              <w:rPr>
                <w:rtl w:val="0"/>
              </w:rPr>
              <w:t xml:space="preserve">, </w:t>
            </w:r>
            <w:hyperlink r:id="rId2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after="200" w:line="276" w:lineRule="auto"/>
        <w:jc w:val="center"/>
        <w:rPr>
          <w:b w:val="1"/>
        </w:rPr>
      </w:pPr>
      <w:r w:rsidDel="00000000" w:rsidR="00000000" w:rsidRPr="00000000">
        <w:rPr>
          <w:b w:val="1"/>
          <w:rtl w:val="0"/>
        </w:rPr>
        <w:t xml:space="preserve">Таблиця 2 — Структура таблиці (ресурсу) </w:t>
      </w:r>
      <w:r w:rsidDel="00000000" w:rsidR="00000000" w:rsidRPr="00000000">
        <w:rPr>
          <w:b w:val="1"/>
          <w:rtl w:val="0"/>
        </w:rPr>
        <w:t xml:space="preserve">Distribution</w:t>
      </w:r>
    </w:p>
    <w:tbl>
      <w:tblPr>
        <w:tblStyle w:val="Table6"/>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680"/>
        <w:gridCol w:w="3060"/>
        <w:gridCol w:w="1380"/>
        <w:gridCol w:w="1530"/>
        <w:tblGridChange w:id="0">
          <w:tblGrid>
            <w:gridCol w:w="1395"/>
            <w:gridCol w:w="1680"/>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rPr/>
            </w:pPr>
            <w:r w:rsidDel="00000000" w:rsidR="00000000" w:rsidRPr="00000000">
              <w:rPr>
                <w:rtl w:val="0"/>
              </w:rPr>
              <w:t xml:space="preserve">Номер реєстраційного посвідчення лікарського засобу відповідно до Державного реєстру лікарських засобів України. Наприклад: UA/6249/01/02.</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F">
            <w:pPr>
              <w:widowControl w:val="0"/>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widowControl w:val="0"/>
              <w:rPr/>
            </w:pPr>
            <w:r w:rsidDel="00000000" w:rsidR="00000000" w:rsidRPr="00000000">
              <w:rPr>
                <w:rtl w:val="0"/>
              </w:rPr>
              <w:t xml:space="preserve">name</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1">
            <w:pPr>
              <w:widowControl w:val="0"/>
              <w:rPr/>
            </w:pPr>
            <w:r w:rsidDel="00000000" w:rsidR="00000000" w:rsidRPr="00000000">
              <w:rPr>
                <w:rtl w:val="0"/>
              </w:rPr>
              <w:t xml:space="preserve">Торговельна назва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widowControl w:val="0"/>
              <w:rPr/>
            </w:pPr>
            <w:r w:rsidDel="00000000" w:rsidR="00000000" w:rsidRPr="00000000">
              <w:rPr>
                <w:rtl w:val="0"/>
              </w:rPr>
              <w:t xml:space="preserve">Торговельна назва засобу/препарату відповідно до Державного реєстру лікарських засобів України. Наприклад: АНАЛЬГІН.</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4">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5">
            <w:pPr>
              <w:widowControl w:val="0"/>
              <w:rPr/>
            </w:pPr>
            <w:r w:rsidDel="00000000" w:rsidR="00000000" w:rsidRPr="00000000">
              <w:rPr>
                <w:rtl w:val="0"/>
              </w:rPr>
              <w:t xml:space="preserve">type</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6">
            <w:pPr>
              <w:widowControl w:val="0"/>
              <w:rPr/>
            </w:pPr>
            <w:r w:rsidDel="00000000" w:rsidR="00000000" w:rsidRPr="00000000">
              <w:rPr>
                <w:rtl w:val="0"/>
              </w:rPr>
              <w:t xml:space="preserve">Форма випуску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7">
            <w:pPr>
              <w:widowControl w:val="0"/>
              <w:rPr/>
            </w:pPr>
            <w:r w:rsidDel="00000000" w:rsidR="00000000" w:rsidRPr="00000000">
              <w:rPr>
                <w:rtl w:val="0"/>
              </w:rPr>
              <w:t xml:space="preserve">Форма випуску відповідно до Наказу МОЗ України від 20.07.2006 № 500. Наприклад: Розчин для ін'єкцій.</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9">
            <w:pPr>
              <w:widowControl w:val="0"/>
              <w:rPr/>
            </w:pPr>
            <w:r w:rsidDel="00000000" w:rsidR="00000000" w:rsidRPr="00000000">
              <w:rPr>
                <w:rtl w:val="0"/>
              </w:rPr>
              <w:t xml:space="preserve">Істина (true)</w:t>
            </w:r>
          </w:p>
        </w:tc>
      </w:tr>
      <w:tr>
        <w:trPr>
          <w:trHeight w:val="8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A">
            <w:pPr>
              <w:widowControl w:val="0"/>
              <w:rPr/>
            </w:pPr>
            <w:r w:rsidDel="00000000" w:rsidR="00000000" w:rsidRPr="00000000">
              <w:rPr>
                <w:rtl w:val="0"/>
              </w:rPr>
              <w:t xml:space="preserve">quantity</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B">
            <w:pPr>
              <w:widowControl w:val="0"/>
              <w:rPr/>
            </w:pPr>
            <w:r w:rsidDel="00000000" w:rsidR="00000000" w:rsidRPr="00000000">
              <w:rPr>
                <w:rtl w:val="0"/>
              </w:rPr>
              <w:t xml:space="preserve">Кількість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widowControl w:val="0"/>
              <w:rPr/>
            </w:pPr>
            <w:r w:rsidDel="00000000" w:rsidR="00000000" w:rsidRPr="00000000">
              <w:rPr>
                <w:rtl w:val="0"/>
              </w:rPr>
              <w:t xml:space="preserve">Кількість (залишок) лікарського засобу. Число вказується без зазначення одиниці вимірювання («мл»). Наприклад: 20.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20.50 або 20,50.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D">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E">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F">
            <w:pPr>
              <w:widowControl w:val="0"/>
              <w:rPr/>
            </w:pPr>
            <w:r w:rsidDel="00000000" w:rsidR="00000000" w:rsidRPr="00000000">
              <w:rPr>
                <w:rtl w:val="0"/>
              </w:rPr>
              <w:t xml:space="preserve">unitName</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0">
            <w:pPr>
              <w:widowControl w:val="0"/>
              <w:rPr/>
            </w:pPr>
            <w:r w:rsidDel="00000000" w:rsidR="00000000" w:rsidRPr="00000000">
              <w:rPr>
                <w:rtl w:val="0"/>
              </w:rPr>
              <w:t xml:space="preserve">Одиниця виміру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1">
            <w:pPr>
              <w:widowControl w:val="0"/>
              <w:rPr/>
            </w:pPr>
            <w:r w:rsidDel="00000000" w:rsidR="00000000" w:rsidRPr="00000000">
              <w:rPr>
                <w:rtl w:val="0"/>
              </w:rPr>
              <w:t xml:space="preserve">Одиниця виміру лікарського засобу може мати одне зі значень: каністра, мішок, штука, таблетка, флакон, капсула, упаковка, </w:t>
            </w:r>
            <w:r w:rsidDel="00000000" w:rsidR="00000000" w:rsidRPr="00000000">
              <w:rPr>
                <w:rtl w:val="0"/>
              </w:rPr>
              <w:t xml:space="preserve">МО</w:t>
            </w:r>
            <w:r w:rsidDel="00000000" w:rsidR="00000000" w:rsidRPr="00000000">
              <w:rPr>
                <w:rtl w:val="0"/>
              </w:rPr>
              <w:t xml:space="preserve">, ампула, </w:t>
            </w:r>
            <w:r w:rsidDel="00000000" w:rsidR="00000000" w:rsidRPr="00000000">
              <w:rPr>
                <w:rtl w:val="0"/>
              </w:rPr>
              <w:t xml:space="preserve">балон</w:t>
            </w:r>
            <w:r w:rsidDel="00000000" w:rsidR="00000000" w:rsidRPr="00000000">
              <w:rPr>
                <w:rtl w:val="0"/>
              </w:rPr>
              <w:t xml:space="preserve">, доза, кілограм, грам, комплект, літр, рулон, метр, набір, пакунок, ящик.</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3">
            <w:pPr>
              <w:widowControl w:val="0"/>
              <w:rPr/>
            </w:pPr>
            <w:r w:rsidDel="00000000" w:rsidR="00000000" w:rsidRPr="00000000">
              <w:rPr>
                <w:rtl w:val="0"/>
              </w:rPr>
              <w:t xml:space="preserve">Істина (true)</w:t>
            </w:r>
          </w:p>
        </w:tc>
      </w:tr>
      <w:tr>
        <w:trPr>
          <w:trHeight w:val="8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4">
            <w:pPr>
              <w:widowControl w:val="0"/>
              <w:rPr/>
            </w:pPr>
            <w:r w:rsidDel="00000000" w:rsidR="00000000" w:rsidRPr="00000000">
              <w:rPr>
                <w:rtl w:val="0"/>
              </w:rPr>
              <w:t xml:space="preserve">shelfLifeDate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5">
            <w:pPr>
              <w:widowControl w:val="0"/>
              <w:rPr/>
            </w:pPr>
            <w:r w:rsidDel="00000000" w:rsidR="00000000" w:rsidRPr="00000000">
              <w:rPr>
                <w:rtl w:val="0"/>
              </w:rPr>
              <w:t xml:space="preserve">Строк придатності</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6">
            <w:pPr>
              <w:widowControl w:val="0"/>
              <w:rPr/>
            </w:pPr>
            <w:r w:rsidDel="00000000" w:rsidR="00000000" w:rsidRPr="00000000">
              <w:rPr>
                <w:rtl w:val="0"/>
              </w:rPr>
              <w:t xml:space="preserve">Дата, завершення строку придатності лікарського засобу у форматі ISO 8601 (</w:t>
            </w:r>
            <w:r w:rsidDel="00000000" w:rsidR="00000000" w:rsidRPr="00000000">
              <w:rPr>
                <w:rtl w:val="0"/>
              </w:rPr>
              <w:t xml:space="preserve">рррр</w:t>
            </w:r>
            <w:r w:rsidDel="00000000" w:rsidR="00000000" w:rsidRPr="00000000">
              <w:rPr>
                <w:rtl w:val="0"/>
              </w:rPr>
              <w:t xml:space="preserve">-мм-дд). Наприклад: 2021-05-30.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7">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8">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9">
            <w:pPr>
              <w:widowControl w:val="0"/>
              <w:rPr/>
            </w:pPr>
            <w:r w:rsidDel="00000000" w:rsidR="00000000" w:rsidRPr="00000000">
              <w:rPr>
                <w:rtl w:val="0"/>
              </w:rPr>
              <w:t xml:space="preserve">sourceType</w:t>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A">
            <w:pPr>
              <w:widowControl w:val="0"/>
              <w:rPr/>
            </w:pPr>
            <w:r w:rsidDel="00000000" w:rsidR="00000000" w:rsidRPr="00000000">
              <w:rPr>
                <w:rtl w:val="0"/>
              </w:rPr>
              <w:t xml:space="preserve">Джерело отримання</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B">
            <w:pPr>
              <w:widowControl w:val="0"/>
              <w:rPr/>
            </w:pPr>
            <w:r w:rsidDel="00000000" w:rsidR="00000000" w:rsidRPr="00000000">
              <w:rPr>
                <w:rtl w:val="0"/>
              </w:rPr>
              <w:t xml:space="preserve">Джерело отримання </w:t>
            </w:r>
            <w:r w:rsidDel="00000000" w:rsidR="00000000" w:rsidRPr="00000000">
              <w:rPr>
                <w:rtl w:val="0"/>
              </w:rPr>
              <w:t xml:space="preserve">засобу</w:t>
            </w:r>
            <w:r w:rsidDel="00000000" w:rsidR="00000000" w:rsidRPr="00000000">
              <w:rPr>
                <w:rtl w:val="0"/>
              </w:rPr>
              <w:t xml:space="preserve"> може мати одне зі значень: Кошти державного бюджету, Кошти місцевого бюджету, Благодійна допомога, Гуманітарна допомога. Наприклад: Кошти державного бюджету.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D">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E">
            <w:pPr>
              <w:widowControl w:val="0"/>
              <w:rPr/>
            </w:pPr>
            <w:r w:rsidDel="00000000" w:rsidR="00000000" w:rsidRPr="00000000">
              <w:rPr>
                <w:rtl w:val="0"/>
              </w:rPr>
              <w:t xml:space="preserve">orderNumber</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F">
            <w:pPr>
              <w:widowControl w:val="0"/>
              <w:rPr/>
            </w:pPr>
            <w:r w:rsidDel="00000000" w:rsidR="00000000" w:rsidRPr="00000000">
              <w:rPr>
                <w:rtl w:val="0"/>
              </w:rPr>
              <w:t xml:space="preserve">Номер наказу</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0">
            <w:pPr>
              <w:widowControl w:val="0"/>
              <w:rPr/>
            </w:pPr>
            <w:r w:rsidDel="00000000" w:rsidR="00000000" w:rsidRPr="00000000">
              <w:rPr>
                <w:rtl w:val="0"/>
              </w:rPr>
              <w:t xml:space="preserve">Номер наказу (без знаку №). Наприклад: 101/03.</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1">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2">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3">
            <w:pPr>
              <w:widowControl w:val="0"/>
              <w:rPr/>
            </w:pPr>
            <w:r w:rsidDel="00000000" w:rsidR="00000000" w:rsidRPr="00000000">
              <w:rPr>
                <w:rtl w:val="0"/>
              </w:rPr>
              <w:t xml:space="preserve">orderIssued</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4">
            <w:pPr>
              <w:widowControl w:val="0"/>
              <w:rPr/>
            </w:pPr>
            <w:r w:rsidDel="00000000" w:rsidR="00000000" w:rsidRPr="00000000">
              <w:rPr>
                <w:rtl w:val="0"/>
              </w:rPr>
              <w:t xml:space="preserve">Дата видання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5">
            <w:pPr>
              <w:widowControl w:val="0"/>
              <w:rPr/>
            </w:pPr>
            <w:r w:rsidDel="00000000" w:rsidR="00000000" w:rsidRPr="00000000">
              <w:rPr>
                <w:rtl w:val="0"/>
              </w:rPr>
              <w:t xml:space="preserve">Дата видання наказу у форматі ISO 8601 (рррр-мм-дд). Наприклад: 2014-05-30.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6">
            <w:pPr>
              <w:widowControl w:val="0"/>
              <w:rPr/>
            </w:pPr>
            <w:r w:rsidDel="00000000" w:rsidR="00000000" w:rsidRPr="00000000">
              <w:rPr>
                <w:rtl w:val="0"/>
              </w:rPr>
              <w:t xml:space="preserve">Дата (date)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7">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8">
            <w:pPr>
              <w:widowControl w:val="0"/>
              <w:rPr/>
            </w:pPr>
            <w:r w:rsidDel="00000000" w:rsidR="00000000" w:rsidRPr="00000000">
              <w:rPr>
                <w:rtl w:val="0"/>
              </w:rPr>
              <w:t xml:space="preserve">orderURL</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9">
            <w:pPr>
              <w:widowControl w:val="0"/>
              <w:rPr/>
            </w:pPr>
            <w:r w:rsidDel="00000000" w:rsidR="00000000" w:rsidRPr="00000000">
              <w:rPr>
                <w:rtl w:val="0"/>
              </w:rPr>
              <w:t xml:space="preserve">Посилання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A">
            <w:pPr>
              <w:widowControl w:val="0"/>
              <w:rPr/>
            </w:pPr>
            <w:r w:rsidDel="00000000" w:rsidR="00000000" w:rsidRPr="00000000">
              <w:rPr>
                <w:rtl w:val="0"/>
              </w:rPr>
              <w:t xml:space="preserve">Посилання на наказ, оприлюднений у мережі Інтернет. Посилання має починатися з http:// або https://. Наприклад: https://www.example.gov.ua/example.doc.</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B">
            <w:pPr>
              <w:widowControl w:val="0"/>
              <w:rPr/>
            </w:pPr>
            <w:r w:rsidDel="00000000" w:rsidR="00000000" w:rsidRPr="00000000">
              <w:rPr>
                <w:rtl w:val="0"/>
              </w:rPr>
              <w:t xml:space="preserve">Посилання (anyURI)</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C">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widowControl w:val="0"/>
              <w:rPr/>
            </w:pPr>
            <w:r w:rsidDel="00000000" w:rsidR="00000000" w:rsidRPr="00000000">
              <w:rPr>
                <w:rtl w:val="0"/>
              </w:rPr>
              <w:t xml:space="preserve">distributorIdentifier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E">
            <w:pPr>
              <w:widowControl w:val="0"/>
              <w:rPr/>
            </w:pPr>
            <w:r w:rsidDel="00000000" w:rsidR="00000000" w:rsidRPr="00000000">
              <w:rPr>
                <w:rtl w:val="0"/>
              </w:rPr>
              <w:t xml:space="preserve">Ідентифікатор надавача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F">
            <w:pPr>
              <w:widowControl w:val="0"/>
              <w:rPr/>
            </w:pPr>
            <w:r w:rsidDel="00000000" w:rsidR="00000000" w:rsidRPr="00000000">
              <w:rPr>
                <w:rtl w:val="0"/>
              </w:rPr>
              <w:t xml:space="preserve">Код ЄДРПОУ надавача лікарських засобів та медичних виробів.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1">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2">
            <w:pPr>
              <w:widowControl w:val="0"/>
              <w:rPr/>
            </w:pPr>
            <w:r w:rsidDel="00000000" w:rsidR="00000000" w:rsidRPr="00000000">
              <w:rPr>
                <w:rtl w:val="0"/>
              </w:rPr>
              <w:t xml:space="preserve">distributorName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3">
            <w:pPr>
              <w:widowControl w:val="0"/>
              <w:rPr/>
            </w:pPr>
            <w:r w:rsidDel="00000000" w:rsidR="00000000" w:rsidRPr="00000000">
              <w:rPr>
                <w:rtl w:val="0"/>
              </w:rPr>
              <w:t xml:space="preserve">Назва надавача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4">
            <w:pPr>
              <w:widowControl w:val="0"/>
              <w:rPr/>
            </w:pPr>
            <w:r w:rsidDel="00000000" w:rsidR="00000000" w:rsidRPr="00000000">
              <w:rPr>
                <w:rtl w:val="0"/>
              </w:rPr>
              <w:t xml:space="preserve">Повна назва надавача лікарських засобів та медичних виробів. Наприклад: Управління охорони здоров’я Полтавської ОДА.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7">
            <w:pPr>
              <w:widowControl w:val="0"/>
              <w:rPr/>
            </w:pPr>
            <w:r w:rsidDel="00000000" w:rsidR="00000000" w:rsidRPr="00000000">
              <w:rPr>
                <w:rtl w:val="0"/>
              </w:rPr>
              <w:t xml:space="preserve">recipientIdentifier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8">
            <w:pPr>
              <w:widowControl w:val="0"/>
              <w:rPr/>
            </w:pPr>
            <w:r w:rsidDel="00000000" w:rsidR="00000000" w:rsidRPr="00000000">
              <w:rPr>
                <w:rtl w:val="0"/>
              </w:rPr>
              <w:t xml:space="preserve">Ідентифікатор отримувача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9">
            <w:pPr>
              <w:widowControl w:val="0"/>
              <w:rPr/>
            </w:pPr>
            <w:r w:rsidDel="00000000" w:rsidR="00000000" w:rsidRPr="00000000">
              <w:rPr>
                <w:rtl w:val="0"/>
              </w:rPr>
              <w:t xml:space="preserve">Код ЄДРПОУ отримувача лікарських засобів та медичних виробів.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B">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C">
            <w:pPr>
              <w:widowControl w:val="0"/>
              <w:rPr/>
            </w:pPr>
            <w:r w:rsidDel="00000000" w:rsidR="00000000" w:rsidRPr="00000000">
              <w:rPr>
                <w:rtl w:val="0"/>
              </w:rPr>
              <w:t xml:space="preserve">recipientName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D">
            <w:pPr>
              <w:widowControl w:val="0"/>
              <w:rPr/>
            </w:pPr>
            <w:r w:rsidDel="00000000" w:rsidR="00000000" w:rsidRPr="00000000">
              <w:rPr>
                <w:rtl w:val="0"/>
              </w:rPr>
              <w:t xml:space="preserve">Назва отримувача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E">
            <w:pPr>
              <w:widowControl w:val="0"/>
              <w:rPr/>
            </w:pPr>
            <w:r w:rsidDel="00000000" w:rsidR="00000000" w:rsidRPr="00000000">
              <w:rPr>
                <w:rtl w:val="0"/>
              </w:rPr>
              <w:t xml:space="preserve">Назва отримувача лікарських засобів та медичних виробів. Наприклад: Одеська міська клінічна інфекційна лікарня.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0">
            <w:pPr>
              <w:widowControl w:val="0"/>
              <w:rPr/>
            </w:pPr>
            <w:r w:rsidDel="00000000" w:rsidR="00000000" w:rsidRPr="00000000">
              <w:rPr>
                <w:rtl w:val="0"/>
              </w:rPr>
              <w:t xml:space="preserve">Істина (true)</w:t>
            </w:r>
          </w:p>
        </w:tc>
      </w:tr>
    </w:tbl>
    <w:p w:rsidR="00000000" w:rsidDel="00000000" w:rsidP="00000000" w:rsidRDefault="00000000" w:rsidRPr="00000000" w14:paraId="000000D1">
      <w:pPr>
        <w:pStyle w:val="Heading1"/>
        <w:spacing w:line="276" w:lineRule="auto"/>
        <w:rPr/>
      </w:pPr>
      <w:bookmarkStart w:colFirst="0" w:colLast="0" w:name="_ayzcnxf60j46" w:id="8"/>
      <w:bookmarkEnd w:id="8"/>
      <w:r w:rsidDel="00000000" w:rsidR="00000000" w:rsidRPr="00000000">
        <w:rPr>
          <w:rtl w:val="0"/>
        </w:rPr>
        <w:t xml:space="preserve">4. Оформлення паспортів наборів та ресурсів</w:t>
      </w:r>
    </w:p>
    <w:tbl>
      <w:tblPr>
        <w:tblStyle w:val="Table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D3">
      <w:pPr>
        <w:spacing w:after="200" w:line="276" w:lineRule="auto"/>
        <w:rPr/>
      </w:pPr>
      <w:r w:rsidDel="00000000" w:rsidR="00000000" w:rsidRPr="00000000">
        <w:rPr>
          <w:rtl w:val="0"/>
        </w:rPr>
      </w:r>
    </w:p>
    <w:p w:rsidR="00000000" w:rsidDel="00000000" w:rsidP="00000000" w:rsidRDefault="00000000" w:rsidRPr="00000000" w14:paraId="000000D4">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D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D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D7">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D8">
            <w:pPr>
              <w:widowControl w:val="0"/>
              <w:spacing w:line="276" w:lineRule="auto"/>
              <w:rPr/>
            </w:pPr>
            <w:r w:rsidDel="00000000" w:rsidR="00000000" w:rsidRPr="00000000">
              <w:rPr>
                <w:rtl w:val="0"/>
              </w:rPr>
              <w:t xml:space="preserve">Відомості про лікарські засоби/препарати, придбані за бюджетні кошти, відомості про розподілення таких ліків між закладами охорони здоров’я та їх залишки в кожному з них</w:t>
            </w:r>
          </w:p>
        </w:tc>
      </w:tr>
      <w:tr>
        <w:trPr>
          <w:trHeight w:val="20" w:hRule="atLeast"/>
        </w:trPr>
        <w:tc>
          <w:tcPr/>
          <w:p w:rsidR="00000000" w:rsidDel="00000000" w:rsidP="00000000" w:rsidRDefault="00000000" w:rsidRPr="00000000" w14:paraId="000000D9">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DA">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DB">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DC">
            <w:pPr>
              <w:widowControl w:val="0"/>
              <w:spacing w:line="276" w:lineRule="auto"/>
              <w:rPr/>
            </w:pPr>
            <w:r w:rsidDel="00000000" w:rsidR="00000000" w:rsidRPr="00000000">
              <w:rPr>
                <w:rtl w:val="0"/>
              </w:rPr>
              <w:t xml:space="preserve">Щ</w:t>
            </w:r>
            <w:r w:rsidDel="00000000" w:rsidR="00000000" w:rsidRPr="00000000">
              <w:rPr>
                <w:rtl w:val="0"/>
              </w:rPr>
              <w:t xml:space="preserve">отижня</w:t>
            </w:r>
          </w:p>
        </w:tc>
      </w:tr>
      <w:tr>
        <w:tc>
          <w:tcPr/>
          <w:p w:rsidR="00000000" w:rsidDel="00000000" w:rsidP="00000000" w:rsidRDefault="00000000" w:rsidRPr="00000000" w14:paraId="000000DD">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DE">
            <w:pPr>
              <w:spacing w:line="276" w:lineRule="auto"/>
              <w:rPr/>
            </w:pPr>
            <w:r w:rsidDel="00000000" w:rsidR="00000000" w:rsidRPr="00000000">
              <w:rPr>
                <w:rtl w:val="0"/>
              </w:rPr>
              <w:t xml:space="preserve">Набір включає два ресурси: Remains — дані щодо залишків лікарських засобів та медичних виробів;</w:t>
            </w:r>
          </w:p>
          <w:p w:rsidR="00000000" w:rsidDel="00000000" w:rsidP="00000000" w:rsidRDefault="00000000" w:rsidRPr="00000000" w14:paraId="000000DF">
            <w:pPr>
              <w:spacing w:line="276" w:lineRule="auto"/>
              <w:rPr/>
            </w:pPr>
            <w:r w:rsidDel="00000000" w:rsidR="00000000" w:rsidRPr="00000000">
              <w:rPr>
                <w:rtl w:val="0"/>
              </w:rPr>
              <w:t xml:space="preserve">Distribution — дані про лікарські засоби та медичні вироби, що були розподілені відповідно до наказів.</w:t>
            </w:r>
          </w:p>
        </w:tc>
      </w:tr>
      <w:tr>
        <w:trPr>
          <w:trHeight w:val="180" w:hRule="atLeast"/>
        </w:trPr>
        <w:tc>
          <w:tcPr/>
          <w:p w:rsidR="00000000" w:rsidDel="00000000" w:rsidP="00000000" w:rsidRDefault="00000000" w:rsidRPr="00000000" w14:paraId="000000E0">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E1">
            <w:pPr>
              <w:widowControl w:val="0"/>
              <w:spacing w:line="276" w:lineRule="auto"/>
              <w:rPr/>
            </w:pPr>
            <w:r w:rsidDel="00000000" w:rsidR="00000000" w:rsidRPr="00000000">
              <w:rPr>
                <w:rtl w:val="0"/>
              </w:rPr>
              <w:t xml:space="preserve">Наказ МОЗ від 26.04.2017 р. №459 «Про затвердження Порядку розміщення на інформаційних стендах у закладах охорони здоров’я», Наказ МОЗ «Про здійснення заходів з контролю використання лікарських засобів та медичних виробів, закуплених за бюджетні кошти» від 02.06.2016 № 509</w:t>
            </w:r>
            <w:r w:rsidDel="00000000" w:rsidR="00000000" w:rsidRPr="00000000">
              <w:rPr>
                <w:rtl w:val="0"/>
              </w:rPr>
            </w:r>
          </w:p>
        </w:tc>
      </w:tr>
      <w:tr>
        <w:trPr>
          <w:trHeight w:val="120" w:hRule="atLeast"/>
        </w:trPr>
        <w:tc>
          <w:tcPr/>
          <w:p w:rsidR="00000000" w:rsidDel="00000000" w:rsidP="00000000" w:rsidRDefault="00000000" w:rsidRPr="00000000" w14:paraId="000000E2">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E3">
            <w:pPr>
              <w:widowControl w:val="0"/>
              <w:spacing w:line="276" w:lineRule="auto"/>
              <w:rPr/>
            </w:pPr>
            <w:r w:rsidDel="00000000" w:rsidR="00000000" w:rsidRPr="00000000">
              <w:rPr>
                <w:rtl w:val="0"/>
              </w:rPr>
              <w:t xml:space="preserve">ліки, лікарські засоби, лікарські препарати, медикаменти, охорона здоров’я, медицина</w:t>
            </w:r>
            <w:r w:rsidDel="00000000" w:rsidR="00000000" w:rsidRPr="00000000">
              <w:rPr>
                <w:rtl w:val="0"/>
              </w:rPr>
            </w:r>
          </w:p>
        </w:tc>
      </w:tr>
      <w:tr>
        <w:trPr>
          <w:trHeight w:val="460" w:hRule="atLeast"/>
        </w:trPr>
        <w:tc>
          <w:tcPr/>
          <w:p w:rsidR="00000000" w:rsidDel="00000000" w:rsidP="00000000" w:rsidRDefault="00000000" w:rsidRPr="00000000" w14:paraId="000000E4">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E5">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E6">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E7">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E8">
      <w:pPr>
        <w:spacing w:after="200" w:line="276" w:lineRule="auto"/>
        <w:jc w:val="center"/>
        <w:rPr/>
      </w:pPr>
      <w:r w:rsidDel="00000000" w:rsidR="00000000" w:rsidRPr="00000000">
        <w:rPr>
          <w:rtl w:val="0"/>
        </w:rPr>
      </w:r>
    </w:p>
    <w:p w:rsidR="00000000" w:rsidDel="00000000" w:rsidP="00000000" w:rsidRDefault="00000000" w:rsidRPr="00000000" w14:paraId="000000E9">
      <w:pPr>
        <w:spacing w:after="200" w:line="276" w:lineRule="auto"/>
        <w:jc w:val="center"/>
        <w:rPr>
          <w:b w:val="1"/>
        </w:rPr>
      </w:pPr>
      <w:r w:rsidDel="00000000" w:rsidR="00000000" w:rsidRPr="00000000">
        <w:rPr>
          <w:b w:val="1"/>
          <w:rtl w:val="0"/>
        </w:rPr>
        <w:t xml:space="preserve">Таблиця 4 — Приклад паспорта ресурсу Remains</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EA">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EB">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EC">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ED">
            <w:pPr>
              <w:spacing w:line="276" w:lineRule="auto"/>
              <w:rPr/>
            </w:pPr>
            <w:r w:rsidDel="00000000" w:rsidR="00000000" w:rsidRPr="00000000">
              <w:rPr>
                <w:rtl w:val="0"/>
              </w:rPr>
              <w:t xml:space="preserve">Remains.xlsx</w:t>
            </w:r>
          </w:p>
        </w:tc>
      </w:tr>
      <w:tr>
        <w:tc>
          <w:tcPr/>
          <w:p w:rsidR="00000000" w:rsidDel="00000000" w:rsidP="00000000" w:rsidRDefault="00000000" w:rsidRPr="00000000" w14:paraId="000000EE">
            <w:pPr>
              <w:spacing w:line="276" w:lineRule="auto"/>
              <w:rPr/>
            </w:pPr>
            <w:r w:rsidDel="00000000" w:rsidR="00000000" w:rsidRPr="00000000">
              <w:rPr>
                <w:rtl w:val="0"/>
              </w:rPr>
              <w:t xml:space="preserve">Опис</w:t>
            </w:r>
          </w:p>
        </w:tc>
        <w:tc>
          <w:tcPr/>
          <w:p w:rsidR="00000000" w:rsidDel="00000000" w:rsidP="00000000" w:rsidRDefault="00000000" w:rsidRPr="00000000" w14:paraId="000000EF">
            <w:pPr>
              <w:widowControl w:val="0"/>
              <w:spacing w:line="276" w:lineRule="auto"/>
              <w:rPr/>
            </w:pPr>
            <w:r w:rsidDel="00000000" w:rsidR="00000000" w:rsidRPr="00000000">
              <w:rPr>
                <w:rtl w:val="0"/>
              </w:rPr>
              <w:t xml:space="preserve">Таблиця містить інформацію про ідентифікатори, торговельні назви, джерело отримання, форми відпуску, одиниці виміру, кількість, строк придатності залишків лікарських засобів та медичних виробів у закладах охорони здоров’я. Кожним записом до таблиці є один засіб або виріб.</w:t>
            </w:r>
          </w:p>
        </w:tc>
      </w:tr>
      <w:tr>
        <w:trPr>
          <w:trHeight w:val="160" w:hRule="atLeast"/>
        </w:trPr>
        <w:tc>
          <w:tcPr/>
          <w:p w:rsidR="00000000" w:rsidDel="00000000" w:rsidP="00000000" w:rsidRDefault="00000000" w:rsidRPr="00000000" w14:paraId="000000F0">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F1">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F2">
      <w:pPr>
        <w:spacing w:after="200" w:lineRule="auto"/>
        <w:jc w:val="center"/>
        <w:rPr>
          <w:b w:val="1"/>
        </w:rPr>
      </w:pPr>
      <w:r w:rsidDel="00000000" w:rsidR="00000000" w:rsidRPr="00000000">
        <w:rPr>
          <w:rtl w:val="0"/>
        </w:rPr>
      </w:r>
    </w:p>
    <w:p w:rsidR="00000000" w:rsidDel="00000000" w:rsidP="00000000" w:rsidRDefault="00000000" w:rsidRPr="00000000" w14:paraId="000000F3">
      <w:pPr>
        <w:spacing w:after="200" w:lineRule="auto"/>
        <w:jc w:val="center"/>
        <w:rPr>
          <w:b w:val="1"/>
        </w:rPr>
      </w:pPr>
      <w:r w:rsidDel="00000000" w:rsidR="00000000" w:rsidRPr="00000000">
        <w:rPr>
          <w:b w:val="1"/>
          <w:rtl w:val="0"/>
        </w:rPr>
        <w:t xml:space="preserve">Таблиця 5 — Приклад паспорта ресурсу Distribution</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F4">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F5">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F6">
            <w:pPr>
              <w:rPr/>
            </w:pPr>
            <w:r w:rsidDel="00000000" w:rsidR="00000000" w:rsidRPr="00000000">
              <w:rPr>
                <w:rtl w:val="0"/>
              </w:rPr>
              <w:t xml:space="preserve">Назва ресурсу</w:t>
            </w:r>
          </w:p>
        </w:tc>
        <w:tc>
          <w:tcPr/>
          <w:p w:rsidR="00000000" w:rsidDel="00000000" w:rsidP="00000000" w:rsidRDefault="00000000" w:rsidRPr="00000000" w14:paraId="000000F7">
            <w:pPr>
              <w:rPr/>
            </w:pPr>
            <w:r w:rsidDel="00000000" w:rsidR="00000000" w:rsidRPr="00000000">
              <w:rPr>
                <w:rtl w:val="0"/>
              </w:rPr>
              <w:t xml:space="preserve">Distribution.xlsx</w:t>
            </w:r>
          </w:p>
        </w:tc>
      </w:tr>
      <w:tr>
        <w:tc>
          <w:tcPr/>
          <w:p w:rsidR="00000000" w:rsidDel="00000000" w:rsidP="00000000" w:rsidRDefault="00000000" w:rsidRPr="00000000" w14:paraId="000000F8">
            <w:pPr>
              <w:rPr/>
            </w:pPr>
            <w:r w:rsidDel="00000000" w:rsidR="00000000" w:rsidRPr="00000000">
              <w:rPr>
                <w:rtl w:val="0"/>
              </w:rPr>
              <w:t xml:space="preserve">Опис</w:t>
            </w:r>
          </w:p>
        </w:tc>
        <w:tc>
          <w:tcPr/>
          <w:p w:rsidR="00000000" w:rsidDel="00000000" w:rsidP="00000000" w:rsidRDefault="00000000" w:rsidRPr="00000000" w14:paraId="000000F9">
            <w:pPr>
              <w:widowControl w:val="0"/>
              <w:rPr/>
            </w:pPr>
            <w:r w:rsidDel="00000000" w:rsidR="00000000" w:rsidRPr="00000000">
              <w:rPr>
                <w:rtl w:val="0"/>
              </w:rPr>
              <w:t xml:space="preserve">Таблиця містить дані про характеристики лікарських засобів та медичних виробів (ідентифікатор, торговельна назва, форма </w:t>
            </w:r>
            <w:r w:rsidDel="00000000" w:rsidR="00000000" w:rsidRPr="00000000">
              <w:rPr>
                <w:rtl w:val="0"/>
              </w:rPr>
              <w:t xml:space="preserve">відпуску</w:t>
            </w:r>
            <w:r w:rsidDel="00000000" w:rsidR="00000000" w:rsidRPr="00000000">
              <w:rPr>
                <w:rtl w:val="0"/>
              </w:rPr>
              <w:t xml:space="preserve">, одиниці виміру, кількість, строк придатності), а також про накази (номер, дата, посилання, надавач, отримувач), якими вони були розподілені. Кожним записом до таблиці є один засіб або виріб.</w:t>
            </w:r>
          </w:p>
        </w:tc>
      </w:tr>
      <w:tr>
        <w:trPr>
          <w:trHeight w:val="160" w:hRule="atLeast"/>
        </w:trPr>
        <w:tc>
          <w:tcPr/>
          <w:p w:rsidR="00000000" w:rsidDel="00000000" w:rsidP="00000000" w:rsidRDefault="00000000" w:rsidRPr="00000000" w14:paraId="000000FA">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FB">
            <w:pPr>
              <w:widowControl w:val="0"/>
              <w:rPr/>
            </w:pPr>
            <w:r w:rsidDel="00000000" w:rsidR="00000000" w:rsidRPr="00000000">
              <w:rPr>
                <w:rtl w:val="0"/>
              </w:rPr>
              <w:t xml:space="preserve">XLSX</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health-care/medicine/remains/Structure.csv" TargetMode="External"/><Relationship Id="rId22" Type="http://schemas.openxmlformats.org/officeDocument/2006/relationships/hyperlink" Target="https://docs.ckan.org/en/latest/maintaining/datastore.html" TargetMode="External"/><Relationship Id="rId21" Type="http://schemas.openxmlformats.org/officeDocument/2006/relationships/hyperlink" Target="https://raw.githubusercontent.com/tapas-opendata/decreet-835-mun/master/health-care/medicine/remains/Structure.json" TargetMode="External"/><Relationship Id="rId24" Type="http://schemas.openxmlformats.org/officeDocument/2006/relationships/hyperlink" Target="https://github.com/tapas-opendata/decreet-835-mun/raw/master/health-care/medicine/distribution/Example.xlsx" TargetMode="External"/><Relationship Id="rId23" Type="http://schemas.openxmlformats.org/officeDocument/2006/relationships/hyperlink" Target="https://github.com/tapas-opendata/decreet-835-mun/raw/master/health-care/medicine/distribution/Distribution.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ld.moz.gov.ua/ua/portal/dn_20160602_0509.html" TargetMode="External"/><Relationship Id="rId26" Type="http://schemas.openxmlformats.org/officeDocument/2006/relationships/hyperlink" Target="https://github.com/tapas-opendata/decreet-835-mun/raw/master/health-care/medicine/distribution/Structure.xlsx" TargetMode="External"/><Relationship Id="rId25" Type="http://schemas.openxmlformats.org/officeDocument/2006/relationships/hyperlink" Target="https://github.com/tapas-opendata/decreet-835-mun/raw/master/health-care/medicine/distribution/Example.xlsx" TargetMode="External"/><Relationship Id="rId28" Type="http://schemas.openxmlformats.org/officeDocument/2006/relationships/hyperlink" Target="https://raw.githubusercontent.com/tapas-opendata/decreet-835-mun/master/health-care/medicine/distribution/Structure.json" TargetMode="External"/><Relationship Id="rId27" Type="http://schemas.openxmlformats.org/officeDocument/2006/relationships/hyperlink" Target="https://raw.githubusercontent.com/tapas-opendata/decreet-835-mun/master/health-care/medicine/distribution/Structure.csv" TargetMode="External"/><Relationship Id="rId5" Type="http://schemas.openxmlformats.org/officeDocument/2006/relationships/styles" Target="styles.xml"/><Relationship Id="rId6" Type="http://schemas.openxmlformats.org/officeDocument/2006/relationships/hyperlink" Target="https://zakon.rada.gov.ua/laws/show/z0841-17" TargetMode="External"/><Relationship Id="rId7" Type="http://schemas.openxmlformats.org/officeDocument/2006/relationships/hyperlink" Target="http://old.moz.gov.ua/ua/portal/dn_20160602_0509.html" TargetMode="External"/><Relationship Id="rId8" Type="http://schemas.openxmlformats.org/officeDocument/2006/relationships/hyperlink" Target="https://zakon.rada.gov.ua/laws/show/z0841-17" TargetMode="External"/><Relationship Id="rId11" Type="http://schemas.openxmlformats.org/officeDocument/2006/relationships/hyperlink" Target="https://liky.ua/" TargetMode="External"/><Relationship Id="rId10" Type="http://schemas.openxmlformats.org/officeDocument/2006/relationships/hyperlink" Target="https://eliky.in.ua/" TargetMode="External"/><Relationship Id="rId13" Type="http://schemas.openxmlformats.org/officeDocument/2006/relationships/hyperlink" Target="https://eliky.in.ua/web/media/instructions/eliky-manual-for-hospitals.pdf" TargetMode="External"/><Relationship Id="rId12" Type="http://schemas.openxmlformats.org/officeDocument/2006/relationships/hyperlink" Target="https://eliky.in.ua/" TargetMode="External"/><Relationship Id="rId15" Type="http://schemas.openxmlformats.org/officeDocument/2006/relationships/hyperlink" Target="https://github.com/tapas-opendata/decreet-835-mun/raw/master/health-care/medicine/remains/Remains.xlsx" TargetMode="External"/><Relationship Id="rId14" Type="http://schemas.openxmlformats.org/officeDocument/2006/relationships/hyperlink" Target="https://eliky.in.ua/web/media/instructions/eliky-manual-for-using-api.pdf" TargetMode="External"/><Relationship Id="rId17" Type="http://schemas.openxmlformats.org/officeDocument/2006/relationships/hyperlink" Target="https://github.com/tapas-opendata/decreet-835-mun/raw/master/health-care/medicine/remains/Example.xlsx" TargetMode="External"/><Relationship Id="rId16" Type="http://schemas.openxmlformats.org/officeDocument/2006/relationships/hyperlink" Target="https://github.com/tapas-opendata/decreet-835-mun/raw/master/health-care/medicine/remains/Remains.xlsx" TargetMode="External"/><Relationship Id="rId19" Type="http://schemas.openxmlformats.org/officeDocument/2006/relationships/hyperlink" Target="https://github.com/tapas-opendata/decreet-835-mun/raw/master/health-care/medicine/remains/Structure.xlsx" TargetMode="External"/><Relationship Id="rId18" Type="http://schemas.openxmlformats.org/officeDocument/2006/relationships/hyperlink" Target="https://github.com/tapas-opendata/decreet-835-mun/raw/master/health-care/medicine/remains/Example.x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