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po0xmcuvsq7" w:id="0"/>
      <w:bookmarkEnd w:id="0"/>
      <w:r w:rsidDel="00000000" w:rsidR="00000000" w:rsidRPr="00000000">
        <w:rPr>
          <w:rtl w:val="0"/>
        </w:rPr>
        <w:t xml:space="preserve">Перелік та місцезнаходження комунальних закладів охорони здоров’я, які забезпечені обладнанням гінекологічним, мамологічним обладнанням, що пристосоване до потреб осіб з інвалідністю з урахуванням особливостей їх пересування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«Основи законодавства України про охорону здоров'я» від 19.11.1992 № 2801-XII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державні фінансові гарантії медичного обслуговування населення» від 19.10.2017 № 2168-VIII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Ідентифікаційні та контактні дані юридичних осіб фіксуються під час затвердження установчих документів і державної реєстрації. Органи місцевого самоврядування можуть збирати й узагальнювати інформацію про можливості діагностики захворювань у закладах охорони здоров’я.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Актуалізація даних про заклади охорони здоров’я та їх обладнання.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XLSX, ODS, CSV, можливі інші формати структурованих даних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n0xhcvy88pvl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Відповідно до статті 32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місцеве самоврядування в Україні»</w:t>
        </w:r>
      </w:hyperlink>
      <w:r w:rsidDel="00000000" w:rsidR="00000000" w:rsidRPr="00000000">
        <w:rPr>
          <w:rtl w:val="0"/>
        </w:rPr>
        <w:t xml:space="preserve"> виконавчі органи місцевих рад забезпечують організацію медичного обслуговування у закладах охорони здоров’я, які належать територіальним громадам або передані їм.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підготовки переліку рекомендовано використовувати структуру таблиці Organizations з </w:t>
      </w:r>
      <w:r w:rsidDel="00000000" w:rsidR="00000000" w:rsidRPr="00000000">
        <w:rPr>
          <w:rtl w:val="0"/>
        </w:rPr>
        <w:t xml:space="preserve">набору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«Довідник підприємств, установ (закладів) та організацій розпорядника інформації»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/>
      </w:pPr>
      <w:bookmarkStart w:colFirst="0" w:colLast="0" w:name="_ay4hfjxzl714" w:id="3"/>
      <w:bookmarkEnd w:id="3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Перелік та місцезнаходження закладів охорони здоров’я, які забезпечені гінекологічним і мамологічним обладнанням, що пристосоване до потреб осіб з інвалідністю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реєстраційні та контактні дані закладів охорони здоров’я Запорізької міської ради, які забезпечені гінекологічним і мамологічним обладнанням, що пристосоване до потреб осіб з інвалідністю.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місцеве самоврядування в Україні» від 21.05.1997 № 280/97-ВР, Закон України «Основи законодавства України про охорону здоров'я» від 19.11.1992 № 2801-XII, Закон України «Про державні фінансові гарантії медичного обслуговування населення» від 19.10.2017 № 2168-VIII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поліклініка, гінекологія, мамологія, доступність, обстеження, охорона здоров’я, медичне обладнання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Organizations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Organizations.xlsx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Ресурс містить реєстраційні та контактні дані закладів охорони здоров’я, установ. Зокрема, код ЄДРПОУ, назву, опис, посилання на офіційний веб-сайт, сторінки в соціальних медіа, поштову адресу, адресу електронної пошти, номер телефону, дні й години роботи та інше.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gov.ua/pages/835-rec-reference-book" TargetMode="External"/><Relationship Id="rId9" Type="http://schemas.openxmlformats.org/officeDocument/2006/relationships/hyperlink" Target="https://zakon.rada.gov.ua/laws/show/280/97-%D0%B2%D1%80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80/97-%D0%B2%D1%80" TargetMode="External"/><Relationship Id="rId7" Type="http://schemas.openxmlformats.org/officeDocument/2006/relationships/hyperlink" Target="https://zakon.rada.gov.ua/laws/show/2801-12" TargetMode="External"/><Relationship Id="rId8" Type="http://schemas.openxmlformats.org/officeDocument/2006/relationships/hyperlink" Target="https://zakon5.rada.gov.ua/laws/show/2168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