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b9rqnz4zu5ra" w:id="0"/>
      <w:bookmarkEnd w:id="0"/>
      <w:r w:rsidDel="00000000" w:rsidR="00000000" w:rsidRPr="00000000">
        <w:rPr>
          <w:rtl w:val="0"/>
        </w:rPr>
        <w:t xml:space="preserve">Дані про доступність будівель для осіб з інвалідністю та інших маломобільних груп населення</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благоустрій населених пунктів» від 06.09.2005 № 2807-IV</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основи соціальної захищеності осіб з інвалідністю в Україні» від 21.03.1991 № 875-XII</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«Про затвердження Порядку здійснення державного архітектурно-будівельного контролю» від 23.05.2011 № 553</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про доступність будинків та споруд фіксується під час архітектурно-будівельного контролю (ДБН В.2.2-40:2018, ДБН В.2.3-5:2018) або моніторингу доступності об’єктів. </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Здійснення архітектурно-будівельного контролю, проведення моніторингу доступності об’єктів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 або в інші терміни, що визначені періодичністю моніторингу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Відповідно до </w:t>
      </w:r>
      <w:hyperlink r:id="rId10">
        <w:r w:rsidDel="00000000" w:rsidR="00000000" w:rsidRPr="00000000">
          <w:rPr>
            <w:color w:val="1155cc"/>
            <w:u w:val="single"/>
            <w:rtl w:val="0"/>
          </w:rPr>
          <w:t xml:space="preserve">Закону України «Про регулювання містобудівної діяльності»</w:t>
        </w:r>
      </w:hyperlink>
      <w:r w:rsidDel="00000000" w:rsidR="00000000" w:rsidRPr="00000000">
        <w:rPr>
          <w:rtl w:val="0"/>
        </w:rPr>
        <w:t xml:space="preserve"> органи державного архітектурного-будівельного контролю здійснюють нагляд за дотриманням законодавства у сфері містобудівної діяльності, вимог будівельних норм, державних стандартів і правил тощо. Вимоги до доступності </w:t>
      </w:r>
      <w:r w:rsidDel="00000000" w:rsidR="00000000" w:rsidRPr="00000000">
        <w:rPr>
          <w:rtl w:val="0"/>
        </w:rPr>
        <w:t xml:space="preserve">будівель та споруд визначені </w:t>
      </w:r>
      <w:hyperlink r:id="rId11">
        <w:r w:rsidDel="00000000" w:rsidR="00000000" w:rsidRPr="00000000">
          <w:rPr>
            <w:color w:val="1155cc"/>
            <w:u w:val="single"/>
            <w:rtl w:val="0"/>
          </w:rPr>
          <w:t xml:space="preserve">ДБН В.2.2-40:2018 Інклюзивність будівель і споруд. Основні положення</w:t>
        </w:r>
      </w:hyperlink>
      <w:r w:rsidDel="00000000" w:rsidR="00000000" w:rsidRPr="00000000">
        <w:rPr>
          <w:rtl w:val="0"/>
        </w:rPr>
        <w:t xml:space="preserve">. Вимоги до доступності вулиць, доріг та територій — </w:t>
      </w:r>
      <w:hyperlink r:id="rId12">
        <w:r w:rsidDel="00000000" w:rsidR="00000000" w:rsidRPr="00000000">
          <w:rPr>
            <w:color w:val="1155cc"/>
            <w:u w:val="single"/>
            <w:rtl w:val="0"/>
          </w:rPr>
          <w:t xml:space="preserve">ДБН В.2.3-5:2018 Вулиці та дороги населених пунктів</w:t>
        </w:r>
      </w:hyperlink>
      <w:r w:rsidDel="00000000" w:rsidR="00000000" w:rsidRPr="00000000">
        <w:rPr>
          <w:rtl w:val="0"/>
        </w:rPr>
        <w:t xml:space="preserve">, </w:t>
      </w:r>
      <w:hyperlink r:id="rId13">
        <w:r w:rsidDel="00000000" w:rsidR="00000000" w:rsidRPr="00000000">
          <w:rPr>
            <w:color w:val="1155cc"/>
            <w:u w:val="single"/>
            <w:rtl w:val="0"/>
          </w:rPr>
          <w:t xml:space="preserve">ДБН Б.2.2-5-2011 Благоустрій територій</w:t>
        </w:r>
      </w:hyperlink>
      <w:r w:rsidDel="00000000" w:rsidR="00000000" w:rsidRPr="00000000">
        <w:rPr>
          <w:rtl w:val="0"/>
        </w:rPr>
        <w:t xml:space="preserve">. Порядок здійснення архітектурно-будівельного контролю затверджений </w:t>
      </w:r>
      <w:hyperlink r:id="rId14">
        <w:r w:rsidDel="00000000" w:rsidR="00000000" w:rsidRPr="00000000">
          <w:rPr>
            <w:color w:val="1155cc"/>
            <w:u w:val="single"/>
            <w:rtl w:val="0"/>
          </w:rPr>
          <w:t xml:space="preserve">Постановою КМУ від 23.05.2011 № 553</w:t>
        </w:r>
      </w:hyperlink>
      <w:r w:rsidDel="00000000" w:rsidR="00000000" w:rsidRPr="00000000">
        <w:rPr>
          <w:rtl w:val="0"/>
        </w:rPr>
        <w:t xml:space="preserve">. </w:t>
      </w:r>
    </w:p>
    <w:p w:rsidR="00000000" w:rsidDel="00000000" w:rsidP="00000000" w:rsidRDefault="00000000" w:rsidRPr="00000000" w14:paraId="00000013">
      <w:pPr>
        <w:spacing w:after="200" w:lineRule="auto"/>
        <w:rPr/>
      </w:pPr>
      <w:r w:rsidDel="00000000" w:rsidR="00000000" w:rsidRPr="00000000">
        <w:rPr>
          <w:rtl w:val="0"/>
        </w:rPr>
        <w:t xml:space="preserve">Моніторинги доступності будівель можуть проводитись органами місцевого самоврядування та громадськими організаціями відповідно до ст. 27 </w:t>
      </w:r>
      <w:hyperlink r:id="rId15">
        <w:r w:rsidDel="00000000" w:rsidR="00000000" w:rsidRPr="00000000">
          <w:rPr>
            <w:color w:val="1155cc"/>
            <w:u w:val="single"/>
            <w:rtl w:val="0"/>
          </w:rPr>
          <w:t xml:space="preserve">Закону України «Про основи соціальної захищеності осіб з інвалідністю в Україні»</w:t>
        </w:r>
      </w:hyperlink>
      <w:r w:rsidDel="00000000" w:rsidR="00000000" w:rsidRPr="00000000">
        <w:rPr>
          <w:rtl w:val="0"/>
        </w:rPr>
        <w:t xml:space="preserve">, </w:t>
      </w:r>
      <w:hyperlink r:id="rId16">
        <w:r w:rsidDel="00000000" w:rsidR="00000000" w:rsidRPr="00000000">
          <w:rPr>
            <w:color w:val="1155cc"/>
            <w:u w:val="single"/>
            <w:rtl w:val="0"/>
          </w:rPr>
          <w:t xml:space="preserve">Наказу Мінбуду України, Мінпраці України від 08.09.2006 № 300/339</w:t>
        </w:r>
      </w:hyperlink>
      <w:r w:rsidDel="00000000" w:rsidR="00000000" w:rsidRPr="00000000">
        <w:rPr>
          <w:rtl w:val="0"/>
        </w:rPr>
        <w:t xml:space="preserve">.</w:t>
      </w:r>
    </w:p>
    <w:p w:rsidR="00000000" w:rsidDel="00000000" w:rsidP="00000000" w:rsidRDefault="00000000" w:rsidRPr="00000000" w14:paraId="00000014">
      <w:pPr>
        <w:pStyle w:val="Heading1"/>
        <w:spacing w:after="200" w:lineRule="auto"/>
        <w:rPr/>
      </w:pPr>
      <w:bookmarkStart w:colFirst="0" w:colLast="0" w:name="_vqlwflnp4fos"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rPr/>
      </w:pPr>
      <w:r w:rsidDel="00000000" w:rsidR="00000000" w:rsidRPr="00000000">
        <w:rPr>
          <w:rtl w:val="0"/>
        </w:rPr>
        <w:t xml:space="preserve">Під час перевірки доступності будинків та споруд рекомендовано використовувати </w:t>
      </w:r>
    </w:p>
    <w:p w:rsidR="00000000" w:rsidDel="00000000" w:rsidP="00000000" w:rsidRDefault="00000000" w:rsidRPr="00000000" w14:paraId="00000016">
      <w:pPr>
        <w:rPr/>
      </w:pPr>
      <w:r w:rsidDel="00000000" w:rsidR="00000000" w:rsidRPr="00000000">
        <w:rPr>
          <w:rtl w:val="0"/>
        </w:rPr>
        <w:t xml:space="preserve">методологію, запропоновану </w:t>
      </w:r>
      <w:hyperlink r:id="rId17">
        <w:r w:rsidDel="00000000" w:rsidR="00000000" w:rsidRPr="00000000">
          <w:rPr>
            <w:color w:val="1155cc"/>
            <w:u w:val="single"/>
            <w:rtl w:val="0"/>
          </w:rPr>
          <w:t xml:space="preserve">ВГО «Національна Асамблея людей з інвалідністю України»</w:t>
        </w:r>
      </w:hyperlink>
      <w:r w:rsidDel="00000000" w:rsidR="00000000" w:rsidRPr="00000000">
        <w:rPr>
          <w:rtl w:val="0"/>
        </w:rPr>
        <w:t xml:space="preserve">. Вона передбачає формування переліку вимог і подальший аналіз їх дотримання у проінспектованих об’єктах (</w:t>
      </w:r>
      <w:hyperlink r:id="rId18">
        <w:r w:rsidDel="00000000" w:rsidR="00000000" w:rsidRPr="00000000">
          <w:rPr>
            <w:color w:val="1155cc"/>
            <w:u w:val="single"/>
            <w:rtl w:val="0"/>
          </w:rPr>
          <w:t xml:space="preserve">Додаток 1</w:t>
        </w:r>
      </w:hyperlink>
      <w:r w:rsidDel="00000000" w:rsidR="00000000" w:rsidRPr="00000000">
        <w:rPr>
          <w:rtl w:val="0"/>
        </w:rPr>
        <w:t xml:space="preserve">). Залежно від типу будинку або споруди (школа, лікарня, адміністративна будівля) перелік вимог може змінюватись. Таким чином, набір включатиме дві таблиці:</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Buildings</w:t>
      </w:r>
      <w:r w:rsidDel="00000000" w:rsidR="00000000" w:rsidRPr="00000000">
        <w:rPr>
          <w:rtl w:val="0"/>
        </w:rPr>
        <w:t xml:space="preserve"> — довідник будинків та споруд, в яких здійснені перевірки або моніторинг;</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Norms</w:t>
      </w:r>
      <w:r w:rsidDel="00000000" w:rsidR="00000000" w:rsidRPr="00000000">
        <w:rPr>
          <w:rtl w:val="0"/>
        </w:rPr>
        <w:t xml:space="preserve"> — перелік вимог державних будівельних норм і стан їх дотримання в будівлях та спорудах (ресурс Norms).</w:t>
      </w:r>
    </w:p>
    <w:p w:rsidR="00000000" w:rsidDel="00000000" w:rsidP="00000000" w:rsidRDefault="00000000" w:rsidRPr="00000000" w14:paraId="00000019">
      <w:pPr>
        <w:pStyle w:val="Heading2"/>
        <w:rPr/>
      </w:pPr>
      <w:bookmarkStart w:colFirst="0" w:colLast="0" w:name="_c6i6m7qws2vv" w:id="4"/>
      <w:bookmarkEnd w:id="4"/>
      <w:r w:rsidDel="00000000" w:rsidR="00000000" w:rsidRPr="00000000">
        <w:rPr>
          <w:rtl w:val="0"/>
        </w:rPr>
        <w:t xml:space="preserve">3.1. Довідник будинків, в яких здійснені перевірки або моніторинг (ресурс Buildings)</w:t>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Buildings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Один будинок або споруда</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hyperlink r:id="rId19">
              <w:r w:rsidDel="00000000" w:rsidR="00000000" w:rsidRPr="00000000">
                <w:rPr>
                  <w:color w:val="1155cc"/>
                  <w:u w:val="single"/>
                  <w:rtl w:val="0"/>
                </w:rPr>
                <w:t xml:space="preserve">Buildings.xlsx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B">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5">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after="200" w:lineRule="auto"/>
        <w:jc w:val="center"/>
        <w:rPr>
          <w:b w:val="1"/>
        </w:rPr>
      </w:pPr>
      <w:r w:rsidDel="00000000" w:rsidR="00000000" w:rsidRPr="00000000">
        <w:rPr>
          <w:b w:val="1"/>
          <w:rtl w:val="0"/>
        </w:rPr>
        <w:t xml:space="preserve">Таблиця 1 — Структура таблиці (ресурсу) Buildings</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65"/>
        <w:gridCol w:w="3090"/>
        <w:gridCol w:w="1380"/>
        <w:gridCol w:w="1530"/>
        <w:tblGridChange w:id="0">
          <w:tblGrid>
            <w:gridCol w:w="1380"/>
            <w:gridCol w:w="1665"/>
            <w:gridCol w:w="309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Порядковий номер або будь-який інший ідентифікатор будинку або споруди. Наприклад: 0015.</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Дата</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rPr/>
            </w:pPr>
            <w:r w:rsidDel="00000000" w:rsidR="00000000" w:rsidRPr="00000000">
              <w:rPr>
                <w:rtl w:val="0"/>
              </w:rPr>
              <w:t xml:space="preserve">Дата проведення перевірки/моніторингу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rPr/>
            </w:pPr>
            <w:r w:rsidDel="00000000" w:rsidR="00000000" w:rsidRPr="00000000">
              <w:rPr>
                <w:rtl w:val="0"/>
              </w:rPr>
              <w:t xml:space="preserve">Назва органу, що здійснив перевірку/моніторинг. Наприклад: Департамент державного архітектурно-будівельного контролю Херсонської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rPr/>
            </w:pPr>
            <w:r w:rsidDel="00000000" w:rsidR="00000000" w:rsidRPr="00000000">
              <w:rPr>
                <w:rtl w:val="0"/>
              </w:rPr>
              <w:t xml:space="preserve">Код ЄДРПОУ органу, що здійснив перевірку/моніторинг.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rPr/>
            </w:pPr>
            <w:r w:rsidDel="00000000" w:rsidR="00000000" w:rsidRPr="00000000">
              <w:rPr>
                <w:rtl w:val="0"/>
              </w:rPr>
              <w:t xml:space="preserve">entity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rPr/>
            </w:pPr>
            <w:r w:rsidDel="00000000" w:rsidR="00000000" w:rsidRPr="00000000">
              <w:rPr>
                <w:rtl w:val="0"/>
              </w:rPr>
              <w:t xml:space="preserve">Ім'я або назва суб’єкта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rPr/>
            </w:pPr>
            <w:r w:rsidDel="00000000" w:rsidR="00000000" w:rsidRPr="00000000">
              <w:rPr>
                <w:rtl w:val="0"/>
              </w:rPr>
              <w:t xml:space="preserve">Прізвище, ім’я, по батькові або назва юридичної особи суб’єкта містобудування, що є відповідальним за дотримання вимог доступності будівель та споруд. Наприклад: КП «Херсонська міська поліклініка №1».</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rPr/>
            </w:pPr>
            <w:r w:rsidDel="00000000" w:rsidR="00000000" w:rsidRPr="00000000">
              <w:rPr>
                <w:rtl w:val="0"/>
              </w:rPr>
              <w:t xml:space="preserve">entityIdentifier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rPr/>
            </w:pPr>
            <w:r w:rsidDel="00000000" w:rsidR="00000000" w:rsidRPr="00000000">
              <w:rPr>
                <w:rtl w:val="0"/>
              </w:rPr>
              <w:t xml:space="preserve">Ідентифікатор суб’єкта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rPr/>
            </w:pPr>
            <w:r w:rsidDel="00000000" w:rsidR="00000000" w:rsidRPr="00000000">
              <w:rPr>
                <w:rtl w:val="0"/>
              </w:rPr>
              <w:t xml:space="preserve">Код ЄДРПОУ суб’єкта містобудування, що є відповідальним за дотримання вимог доступності будівель та споруд.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r w:rsidDel="00000000" w:rsidR="00000000" w:rsidRPr="00000000">
              <w:rPr>
                <w:rtl w:val="0"/>
              </w:rPr>
              <w:t xml:space="preserve">Хибність (false)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Назва об'єкта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Назва будівлі/споруди. Наприклад: Головний корпус Поліклініки №1.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rPr/>
            </w:pPr>
            <w:r w:rsidDel="00000000" w:rsidR="00000000" w:rsidRPr="00000000">
              <w:rPr>
                <w:rtl w:val="0"/>
              </w:rPr>
              <w:t xml:space="preserve">Поштовий індекс</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rPr/>
            </w:pPr>
            <w:r w:rsidDel="00000000" w:rsidR="00000000" w:rsidRPr="00000000">
              <w:rPr>
                <w:rtl w:val="0"/>
              </w:rPr>
              <w:t xml:space="preserve">Поштовий індекс адреси будівлі/споруди.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rPr/>
            </w:pPr>
            <w:r w:rsidDel="00000000" w:rsidR="00000000" w:rsidRPr="00000000">
              <w:rPr>
                <w:rtl w:val="0"/>
              </w:rPr>
              <w:t xml:space="preserve">Назва країни.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Назва регіону, де розміщена будівля/споруда.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4">
            <w:pPr>
              <w:widowControl w:val="0"/>
              <w:rPr/>
            </w:pPr>
            <w:r w:rsidDel="00000000" w:rsidR="00000000" w:rsidRPr="00000000">
              <w:rPr>
                <w:rtl w:val="0"/>
              </w:rPr>
              <w:t xml:space="preserve">Істина (true)</w:t>
            </w:r>
          </w:p>
        </w:tc>
      </w:tr>
      <w:tr>
        <w:trPr>
          <w:trHeight w:val="8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Номер будівлі (об’єкта)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widowControl w:val="0"/>
              <w:rPr/>
            </w:pPr>
            <w:r w:rsidDel="00000000" w:rsidR="00000000" w:rsidRPr="00000000">
              <w:rPr>
                <w:rtl w:val="0"/>
              </w:rPr>
              <w:t xml:space="preserve">Істина (true)</w:t>
            </w:r>
          </w:p>
        </w:tc>
      </w:tr>
      <w:tr>
        <w:trPr>
          <w:trHeight w:val="4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widowControl w:val="0"/>
              <w:rPr/>
            </w:pPr>
            <w:r w:rsidDel="00000000" w:rsidR="00000000" w:rsidRPr="00000000">
              <w:rPr>
                <w:rtl w:val="0"/>
              </w:rPr>
              <w:t xml:space="preserve">Хибність (false)</w:t>
            </w:r>
          </w:p>
        </w:tc>
      </w:tr>
    </w:tbl>
    <w:p w:rsidR="00000000" w:rsidDel="00000000" w:rsidP="00000000" w:rsidRDefault="00000000" w:rsidRPr="00000000" w14:paraId="0000007F">
      <w:pPr>
        <w:pStyle w:val="Heading2"/>
        <w:rPr/>
      </w:pPr>
      <w:bookmarkStart w:colFirst="0" w:colLast="0" w:name="_6gzayycvtuhc" w:id="5"/>
      <w:bookmarkEnd w:id="5"/>
      <w:r w:rsidDel="00000000" w:rsidR="00000000" w:rsidRPr="00000000">
        <w:rPr>
          <w:rtl w:val="0"/>
        </w:rPr>
        <w:t xml:space="preserve">3.2. Перелік вимог державних будівельних норм і стан їх дотримання в будівлях та спорудах (ресурс Norms)</w:t>
      </w:r>
    </w:p>
    <w:p w:rsidR="00000000" w:rsidDel="00000000" w:rsidP="00000000" w:rsidRDefault="00000000" w:rsidRPr="00000000" w14:paraId="00000080">
      <w:pPr>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Norms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Один пункт державних будівельних норм, контроль дотримання якого здійснюється в одному будинку або споруді.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Розміщення нової версії ресурсу, створення нових ресурсів для будинків і споруд, де відбулося інспектування/моніторинг.</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hyperlink r:id="rId26">
              <w:r w:rsidDel="00000000" w:rsidR="00000000" w:rsidRPr="00000000">
                <w:rPr>
                  <w:color w:val="1155cc"/>
                  <w:u w:val="single"/>
                  <w:rtl w:val="0"/>
                </w:rPr>
                <w:t xml:space="preserve">Norms.xlsx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hyperlink r:id="rId27">
              <w:r w:rsidDel="00000000" w:rsidR="00000000" w:rsidRPr="00000000">
                <w:rPr>
                  <w:color w:val="1155cc"/>
                  <w:u w:val="single"/>
                  <w:rtl w:val="0"/>
                </w:rPr>
                <w:t xml:space="preserve">Example</w:t>
              </w:r>
            </w:hyperlink>
            <w:hyperlink r:id="rId2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hyperlink r:id="rId29">
              <w:r w:rsidDel="00000000" w:rsidR="00000000" w:rsidRPr="00000000">
                <w:rPr>
                  <w:color w:val="1155cc"/>
                  <w:u w:val="single"/>
                  <w:rtl w:val="0"/>
                </w:rPr>
                <w:t xml:space="preserve">Structure.xlsx</w:t>
              </w:r>
            </w:hyperlink>
            <w:r w:rsidDel="00000000" w:rsidR="00000000" w:rsidRPr="00000000">
              <w:rPr>
                <w:rtl w:val="0"/>
              </w:rPr>
              <w:t xml:space="preserve">, </w:t>
            </w:r>
            <w:hyperlink r:id="rId30">
              <w:r w:rsidDel="00000000" w:rsidR="00000000" w:rsidRPr="00000000">
                <w:rPr>
                  <w:color w:val="1155cc"/>
                  <w:u w:val="single"/>
                  <w:rtl w:val="0"/>
                </w:rPr>
                <w:t xml:space="preserve">Structure.csv</w:t>
              </w:r>
            </w:hyperlink>
            <w:r w:rsidDel="00000000" w:rsidR="00000000" w:rsidRPr="00000000">
              <w:rPr>
                <w:rtl w:val="0"/>
              </w:rPr>
              <w:t xml:space="preserve">, </w:t>
            </w:r>
            <w:hyperlink r:id="rId3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spacing w:after="200" w:lineRule="auto"/>
        <w:jc w:val="center"/>
        <w:rPr>
          <w:b w:val="1"/>
        </w:rPr>
      </w:pPr>
      <w:r w:rsidDel="00000000" w:rsidR="00000000" w:rsidRPr="00000000">
        <w:rPr>
          <w:b w:val="1"/>
          <w:rtl w:val="0"/>
        </w:rPr>
        <w:t xml:space="preserve">Таблиця 2 — Структура таблиці (ресурсу) Norms</w:t>
      </w:r>
    </w:p>
    <w:tbl>
      <w:tblPr>
        <w:tblStyle w:val="Table6"/>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1680"/>
        <w:gridCol w:w="2805"/>
        <w:gridCol w:w="1380"/>
        <w:gridCol w:w="1530"/>
        <w:tblGridChange w:id="0">
          <w:tblGrid>
            <w:gridCol w:w="1650"/>
            <w:gridCol w:w="1680"/>
            <w:gridCol w:w="280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rPr/>
            </w:pPr>
            <w:r w:rsidDel="00000000" w:rsidR="00000000" w:rsidRPr="00000000">
              <w:rPr>
                <w:rtl w:val="0"/>
              </w:rPr>
              <w:t xml:space="preserve">normsNumber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rPr/>
            </w:pPr>
            <w:r w:rsidDel="00000000" w:rsidR="00000000" w:rsidRPr="00000000">
              <w:rPr>
                <w:rtl w:val="0"/>
              </w:rPr>
              <w:t xml:space="preserve">Державні будівельні норми</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rPr/>
            </w:pPr>
            <w:r w:rsidDel="00000000" w:rsidR="00000000" w:rsidRPr="00000000">
              <w:rPr>
                <w:rtl w:val="0"/>
              </w:rPr>
              <w:t xml:space="preserve">Номер державних будівельних норм, на відповідність яким проводиться перевірка або моніторинг. Наприклад: ДБН В.2.2-40:2018.</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rPr/>
            </w:pPr>
            <w:r w:rsidDel="00000000" w:rsidR="00000000" w:rsidRPr="00000000">
              <w:rPr>
                <w:rtl w:val="0"/>
              </w:rPr>
              <w:t xml:space="preserve">paragraphNumber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rPr/>
            </w:pPr>
            <w:r w:rsidDel="00000000" w:rsidR="00000000" w:rsidRPr="00000000">
              <w:rPr>
                <w:rtl w:val="0"/>
              </w:rPr>
              <w:t xml:space="preserve">Номер пункту</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0">
            <w:pPr>
              <w:widowControl w:val="0"/>
              <w:rPr/>
            </w:pPr>
            <w:r w:rsidDel="00000000" w:rsidR="00000000" w:rsidRPr="00000000">
              <w:rPr>
                <w:rtl w:val="0"/>
              </w:rPr>
              <w:t xml:space="preserve">Номер пункту державних будівельних норм. Наприклад: 5.3.2</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rPr/>
            </w:pPr>
            <w:r w:rsidDel="00000000" w:rsidR="00000000" w:rsidRPr="00000000">
              <w:rPr>
                <w:rtl w:val="0"/>
              </w:rPr>
              <w:t xml:space="preserve">paragraphDescription</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4">
            <w:pPr>
              <w:widowControl w:val="0"/>
              <w:rPr/>
            </w:pPr>
            <w:r w:rsidDel="00000000" w:rsidR="00000000" w:rsidRPr="00000000">
              <w:rPr>
                <w:rtl w:val="0"/>
              </w:rPr>
              <w:t xml:space="preserve">Норма</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5">
            <w:pPr>
              <w:widowControl w:val="0"/>
              <w:rPr/>
            </w:pPr>
            <w:r w:rsidDel="00000000" w:rsidR="00000000" w:rsidRPr="00000000">
              <w:rPr>
                <w:rtl w:val="0"/>
              </w:rPr>
              <w:t xml:space="preserve">Норма, що визначена пунктом (допустимий скорочений виклад). Наприклад: Зовнішні пандуси повинні мати двобічне огородження з поручнями.</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widowControl w:val="0"/>
              <w:rPr/>
            </w:pPr>
            <w:r w:rsidDel="00000000" w:rsidR="00000000" w:rsidRPr="00000000">
              <w:rPr>
                <w:rtl w:val="0"/>
              </w:rPr>
              <w:t xml:space="preserve">status</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widowControl w:val="0"/>
              <w:rPr/>
            </w:pPr>
            <w:r w:rsidDel="00000000" w:rsidR="00000000" w:rsidRPr="00000000">
              <w:rPr>
                <w:rtl w:val="0"/>
              </w:rPr>
              <w:t xml:space="preserve">Стан відповідності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A">
            <w:pPr>
              <w:widowControl w:val="0"/>
              <w:rPr/>
            </w:pPr>
            <w:r w:rsidDel="00000000" w:rsidR="00000000" w:rsidRPr="00000000">
              <w:rPr>
                <w:rtl w:val="0"/>
              </w:rPr>
              <w:t xml:space="preserve">Стан відповідності об’єкта вимогам норми може мати одне із двох значень: Так, Ні. Наприклад: Ні.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C">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widowControl w:val="0"/>
              <w:rPr/>
            </w:pPr>
            <w:r w:rsidDel="00000000" w:rsidR="00000000" w:rsidRPr="00000000">
              <w:rPr>
                <w:rtl w:val="0"/>
              </w:rPr>
              <w:t xml:space="preserve">description</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E">
            <w:pPr>
              <w:widowControl w:val="0"/>
              <w:rPr/>
            </w:pPr>
            <w:r w:rsidDel="00000000" w:rsidR="00000000" w:rsidRPr="00000000">
              <w:rPr>
                <w:rtl w:val="0"/>
              </w:rPr>
              <w:t xml:space="preserve">Опис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widowControl w:val="0"/>
              <w:rPr/>
            </w:pPr>
            <w:r w:rsidDel="00000000" w:rsidR="00000000" w:rsidRPr="00000000">
              <w:rPr>
                <w:rtl w:val="0"/>
              </w:rPr>
              <w:t xml:space="preserve">Опис може містити примітки, виявлені розміри, відхилення тощо. Наприклад: Пандус огороджений поручнем лише з правого боку.</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1">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widowControl w:val="0"/>
              <w:rPr/>
            </w:pPr>
            <w:r w:rsidDel="00000000" w:rsidR="00000000" w:rsidRPr="00000000">
              <w:rPr>
                <w:rtl w:val="0"/>
              </w:rPr>
              <w:t xml:space="preserve">image</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3">
            <w:pPr>
              <w:widowControl w:val="0"/>
              <w:rPr/>
            </w:pPr>
            <w:r w:rsidDel="00000000" w:rsidR="00000000" w:rsidRPr="00000000">
              <w:rPr>
                <w:rtl w:val="0"/>
              </w:rPr>
              <w:t xml:space="preserve">Фото</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widowControl w:val="0"/>
              <w:rPr/>
            </w:pPr>
            <w:r w:rsidDel="00000000" w:rsidR="00000000" w:rsidRPr="00000000">
              <w:rPr>
                <w:rtl w:val="0"/>
              </w:rPr>
              <w:t xml:space="preserve">Посилання на фото елемента будівлі або споруди, якого стосуються вимоги норми (URL). Посилання має починатися з http:// або https://. Наприклад: https://www.example.gov.ua/photo.png. Якщо фото відсутнє,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6">
            <w:pPr>
              <w:widowControl w:val="0"/>
              <w:rPr/>
            </w:pPr>
            <w:r w:rsidDel="00000000" w:rsidR="00000000" w:rsidRPr="00000000">
              <w:rPr>
                <w:rtl w:val="0"/>
              </w:rPr>
              <w:t xml:space="preserve">Хибність (false)</w:t>
            </w:r>
          </w:p>
          <w:p w:rsidR="00000000" w:rsidDel="00000000" w:rsidP="00000000" w:rsidRDefault="00000000" w:rsidRPr="00000000" w14:paraId="000000B7">
            <w:pPr>
              <w:widowControl w:val="0"/>
              <w:rPr/>
            </w:pPr>
            <w:r w:rsidDel="00000000" w:rsidR="00000000" w:rsidRPr="00000000">
              <w:rPr>
                <w:rtl w:val="0"/>
              </w:rPr>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8">
            <w:pPr>
              <w:widowControl w:val="0"/>
              <w:rPr/>
            </w:pPr>
            <w:r w:rsidDel="00000000" w:rsidR="00000000" w:rsidRPr="00000000">
              <w:rPr>
                <w:rtl w:val="0"/>
              </w:rPr>
              <w:t xml:space="preserve">buildingIdentifier</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widowControl w:val="0"/>
              <w:rPr/>
            </w:pPr>
            <w:r w:rsidDel="00000000" w:rsidR="00000000" w:rsidRPr="00000000">
              <w:rPr>
                <w:rtl w:val="0"/>
              </w:rPr>
              <w:t xml:space="preserve">Ідентифікатор об’єкта</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widowControl w:val="0"/>
              <w:rPr/>
            </w:pPr>
            <w:r w:rsidDel="00000000" w:rsidR="00000000" w:rsidRPr="00000000">
              <w:rPr>
                <w:rtl w:val="0"/>
              </w:rPr>
              <w:t xml:space="preserve">Ідентифікатор будинку або споруди з таблиці Buildings. Наприклад: 0015.</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C">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D">
            <w:pPr>
              <w:widowControl w:val="0"/>
              <w:rPr/>
            </w:pPr>
            <w:r w:rsidDel="00000000" w:rsidR="00000000" w:rsidRPr="00000000">
              <w:rPr>
                <w:rtl w:val="0"/>
              </w:rPr>
              <w:t xml:space="preserve">buildingName</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widowControl w:val="0"/>
              <w:rPr/>
            </w:pPr>
            <w:r w:rsidDel="00000000" w:rsidR="00000000" w:rsidRPr="00000000">
              <w:rPr>
                <w:rtl w:val="0"/>
              </w:rPr>
              <w:t xml:space="preserve">Назва об’єкта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widowControl w:val="0"/>
              <w:rPr/>
            </w:pPr>
            <w:r w:rsidDel="00000000" w:rsidR="00000000" w:rsidRPr="00000000">
              <w:rPr>
                <w:rtl w:val="0"/>
              </w:rPr>
              <w:t xml:space="preserve">Назва будинку або споруди з таблиці Buildings. Наприклад: Головний корпус Поліклініки №1.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1">
            <w:pPr>
              <w:widowControl w:val="0"/>
              <w:rPr/>
            </w:pPr>
            <w:r w:rsidDel="00000000" w:rsidR="00000000" w:rsidRPr="00000000">
              <w:rPr>
                <w:rtl w:val="0"/>
              </w:rPr>
              <w:t xml:space="preserve">Істина (true)</w:t>
            </w:r>
          </w:p>
        </w:tc>
      </w:tr>
    </w:tbl>
    <w:p w:rsidR="00000000" w:rsidDel="00000000" w:rsidP="00000000" w:rsidRDefault="00000000" w:rsidRPr="00000000" w14:paraId="000000C2">
      <w:pPr>
        <w:pStyle w:val="Heading1"/>
        <w:rPr/>
      </w:pPr>
      <w:bookmarkStart w:colFirst="0" w:colLast="0" w:name="_7fzzx89p70n6" w:id="6"/>
      <w:bookmarkEnd w:id="6"/>
      <w:r w:rsidDel="00000000" w:rsidR="00000000" w:rsidRPr="00000000">
        <w:rPr>
          <w:rtl w:val="0"/>
        </w:rPr>
        <w:t xml:space="preserve">4. Оформлення паспортів наборів та ресурсів</w:t>
      </w:r>
    </w:p>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C4">
      <w:pPr>
        <w:spacing w:after="200" w:lineRule="auto"/>
        <w:rPr/>
      </w:pPr>
      <w:r w:rsidDel="00000000" w:rsidR="00000000" w:rsidRPr="00000000">
        <w:rPr>
          <w:rtl w:val="0"/>
        </w:rPr>
      </w:r>
    </w:p>
    <w:p w:rsidR="00000000" w:rsidDel="00000000" w:rsidP="00000000" w:rsidRDefault="00000000" w:rsidRPr="00000000" w14:paraId="000000C5">
      <w:pPr>
        <w:spacing w:after="200"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C6">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C7">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C8">
            <w:pPr>
              <w:rPr/>
            </w:pPr>
            <w:r w:rsidDel="00000000" w:rsidR="00000000" w:rsidRPr="00000000">
              <w:rPr>
                <w:rtl w:val="0"/>
              </w:rPr>
              <w:t xml:space="preserve">Назва набору</w:t>
            </w:r>
          </w:p>
        </w:tc>
        <w:tc>
          <w:tcPr/>
          <w:p w:rsidR="00000000" w:rsidDel="00000000" w:rsidP="00000000" w:rsidRDefault="00000000" w:rsidRPr="00000000" w14:paraId="000000C9">
            <w:pPr>
              <w:widowControl w:val="0"/>
              <w:rPr/>
            </w:pPr>
            <w:r w:rsidDel="00000000" w:rsidR="00000000" w:rsidRPr="00000000">
              <w:rPr>
                <w:rtl w:val="0"/>
              </w:rPr>
              <w:t xml:space="preserve">Дані про доступність будівель для осіб з інвалідністю та інших маломобільних груп населення</w:t>
            </w:r>
          </w:p>
        </w:tc>
      </w:tr>
      <w:tr>
        <w:trPr>
          <w:trHeight w:val="20" w:hRule="atLeast"/>
        </w:trPr>
        <w:tc>
          <w:tcPr/>
          <w:p w:rsidR="00000000" w:rsidDel="00000000" w:rsidP="00000000" w:rsidRDefault="00000000" w:rsidRPr="00000000" w14:paraId="000000CA">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CB">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CC">
            <w:pPr>
              <w:rPr/>
            </w:pPr>
            <w:r w:rsidDel="00000000" w:rsidR="00000000" w:rsidRPr="00000000">
              <w:rPr>
                <w:rtl w:val="0"/>
              </w:rPr>
              <w:t xml:space="preserve">Частота оновлення</w:t>
            </w:r>
          </w:p>
        </w:tc>
        <w:tc>
          <w:tcPr/>
          <w:p w:rsidR="00000000" w:rsidDel="00000000" w:rsidP="00000000" w:rsidRDefault="00000000" w:rsidRPr="00000000" w14:paraId="000000CD">
            <w:pPr>
              <w:widowControl w:val="0"/>
              <w:rPr/>
            </w:pPr>
            <w:r w:rsidDel="00000000" w:rsidR="00000000" w:rsidRPr="00000000">
              <w:rPr>
                <w:rtl w:val="0"/>
              </w:rPr>
              <w:t xml:space="preserve">Щотижня</w:t>
            </w:r>
          </w:p>
        </w:tc>
      </w:tr>
      <w:tr>
        <w:tc>
          <w:tcPr/>
          <w:p w:rsidR="00000000" w:rsidDel="00000000" w:rsidP="00000000" w:rsidRDefault="00000000" w:rsidRPr="00000000" w14:paraId="000000CE">
            <w:pPr>
              <w:rPr/>
            </w:pPr>
            <w:r w:rsidDel="00000000" w:rsidR="00000000" w:rsidRPr="00000000">
              <w:rPr>
                <w:rtl w:val="0"/>
              </w:rPr>
              <w:t xml:space="preserve">Опис</w:t>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CF">
            <w:pPr>
              <w:ind w:left="0" w:firstLine="0"/>
              <w:rPr/>
            </w:pPr>
            <w:r w:rsidDel="00000000" w:rsidR="00000000" w:rsidRPr="00000000">
              <w:rPr>
                <w:rtl w:val="0"/>
              </w:rPr>
              <w:t xml:space="preserve">Набір включає два ресурси: перелік будинків та споруд, в яких здійснені перевірки або моніторинг дотримання вимог доступності (ресурс Buildings); перелік вимог державних будівельних норм і стан їх дотримання в будівлях та спорудах (ресурс Norms).</w:t>
            </w:r>
          </w:p>
        </w:tc>
      </w:tr>
      <w:tr>
        <w:trPr>
          <w:trHeight w:val="180" w:hRule="atLeast"/>
        </w:trPr>
        <w:tc>
          <w:tcPr/>
          <w:p w:rsidR="00000000" w:rsidDel="00000000" w:rsidP="00000000" w:rsidRDefault="00000000" w:rsidRPr="00000000" w14:paraId="000000D0">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D1">
            <w:pPr>
              <w:widowControl w:val="0"/>
              <w:rPr/>
            </w:pPr>
            <w:r w:rsidDel="00000000" w:rsidR="00000000" w:rsidRPr="00000000">
              <w:rPr>
                <w:rtl w:val="0"/>
              </w:rPr>
              <w:t xml:space="preserve">Закон України «Про регулювання містобудівної діяльності» від 17.02.2011 № 3038-VI, Закон України «Про благоустрій населених пунктів» від 06.09.2005 № 2807-IV, Закон України «Про основи соціальної захищеності осіб з інвалідністю в Україні» від 21.03.1991 № 875-XII, Постанова КМУ від 23.05.2011 № 553</w:t>
            </w:r>
          </w:p>
        </w:tc>
      </w:tr>
      <w:tr>
        <w:trPr>
          <w:trHeight w:val="120" w:hRule="atLeast"/>
        </w:trPr>
        <w:tc>
          <w:tcPr/>
          <w:p w:rsidR="00000000" w:rsidDel="00000000" w:rsidP="00000000" w:rsidRDefault="00000000" w:rsidRPr="00000000" w14:paraId="000000D2">
            <w:pPr>
              <w:rPr/>
            </w:pPr>
            <w:r w:rsidDel="00000000" w:rsidR="00000000" w:rsidRPr="00000000">
              <w:rPr>
                <w:rtl w:val="0"/>
              </w:rPr>
              <w:t xml:space="preserve">Ключові слова</w:t>
            </w:r>
          </w:p>
        </w:tc>
        <w:tc>
          <w:tcPr/>
          <w:p w:rsidR="00000000" w:rsidDel="00000000" w:rsidP="00000000" w:rsidRDefault="00000000" w:rsidRPr="00000000" w14:paraId="000000D3">
            <w:pPr>
              <w:widowControl w:val="0"/>
              <w:rPr/>
            </w:pPr>
            <w:r w:rsidDel="00000000" w:rsidR="00000000" w:rsidRPr="00000000">
              <w:rPr>
                <w:rtl w:val="0"/>
              </w:rPr>
              <w:t xml:space="preserve">інклюзивність, доступність, будівлі, споруди, ДБН, пандуси, маломобільні групи, тактильні засоби, тифлотехнічні засоби</w:t>
            </w:r>
          </w:p>
        </w:tc>
      </w:tr>
      <w:tr>
        <w:trPr>
          <w:trHeight w:val="460" w:hRule="atLeast"/>
        </w:trPr>
        <w:tc>
          <w:tcPr/>
          <w:p w:rsidR="00000000" w:rsidDel="00000000" w:rsidP="00000000" w:rsidRDefault="00000000" w:rsidRPr="00000000" w14:paraId="000000D4">
            <w:pPr>
              <w:rPr/>
            </w:pPr>
            <w:r w:rsidDel="00000000" w:rsidR="00000000" w:rsidRPr="00000000">
              <w:rPr>
                <w:rtl w:val="0"/>
              </w:rPr>
              <w:t xml:space="preserve">Відповідальна особа</w:t>
            </w:r>
          </w:p>
        </w:tc>
        <w:tc>
          <w:tcPr/>
          <w:p w:rsidR="00000000" w:rsidDel="00000000" w:rsidP="00000000" w:rsidRDefault="00000000" w:rsidRPr="00000000" w14:paraId="000000D5">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D6">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D7">
            <w:pPr>
              <w:widowControl w:val="0"/>
              <w:rPr/>
            </w:pPr>
            <w:r w:rsidDel="00000000" w:rsidR="00000000" w:rsidRPr="00000000">
              <w:rPr>
                <w:rtl w:val="0"/>
              </w:rPr>
              <w:t xml:space="preserve">o.symonenko@example.gov.ua</w:t>
            </w:r>
          </w:p>
        </w:tc>
      </w:tr>
    </w:tbl>
    <w:p w:rsidR="00000000" w:rsidDel="00000000" w:rsidP="00000000" w:rsidRDefault="00000000" w:rsidRPr="00000000" w14:paraId="000000D8">
      <w:pPr>
        <w:spacing w:after="200" w:lineRule="auto"/>
        <w:jc w:val="center"/>
        <w:rPr/>
      </w:pPr>
      <w:r w:rsidDel="00000000" w:rsidR="00000000" w:rsidRPr="00000000">
        <w:rPr>
          <w:rtl w:val="0"/>
        </w:rPr>
      </w:r>
    </w:p>
    <w:p w:rsidR="00000000" w:rsidDel="00000000" w:rsidP="00000000" w:rsidRDefault="00000000" w:rsidRPr="00000000" w14:paraId="000000D9">
      <w:pPr>
        <w:spacing w:after="200" w:lineRule="auto"/>
        <w:jc w:val="center"/>
        <w:rPr>
          <w:b w:val="1"/>
        </w:rPr>
      </w:pPr>
      <w:r w:rsidDel="00000000" w:rsidR="00000000" w:rsidRPr="00000000">
        <w:rPr>
          <w:b w:val="1"/>
          <w:rtl w:val="0"/>
        </w:rPr>
        <w:t xml:space="preserve">Таблиця 4 — Приклад паспорта ресурсу Buildings </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D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DB">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DC">
            <w:pPr>
              <w:rPr/>
            </w:pPr>
            <w:r w:rsidDel="00000000" w:rsidR="00000000" w:rsidRPr="00000000">
              <w:rPr>
                <w:rtl w:val="0"/>
              </w:rPr>
              <w:t xml:space="preserve">Назва ресурсу</w:t>
            </w:r>
          </w:p>
        </w:tc>
        <w:tc>
          <w:tcPr/>
          <w:p w:rsidR="00000000" w:rsidDel="00000000" w:rsidP="00000000" w:rsidRDefault="00000000" w:rsidRPr="00000000" w14:paraId="000000DD">
            <w:pPr>
              <w:rPr/>
            </w:pPr>
            <w:r w:rsidDel="00000000" w:rsidR="00000000" w:rsidRPr="00000000">
              <w:rPr>
                <w:rtl w:val="0"/>
              </w:rPr>
              <w:t xml:space="preserve">Buildings.xlsx</w:t>
            </w:r>
          </w:p>
        </w:tc>
      </w:tr>
      <w:tr>
        <w:tc>
          <w:tcPr/>
          <w:p w:rsidR="00000000" w:rsidDel="00000000" w:rsidP="00000000" w:rsidRDefault="00000000" w:rsidRPr="00000000" w14:paraId="000000DE">
            <w:pPr>
              <w:rPr/>
            </w:pPr>
            <w:r w:rsidDel="00000000" w:rsidR="00000000" w:rsidRPr="00000000">
              <w:rPr>
                <w:rtl w:val="0"/>
              </w:rPr>
              <w:t xml:space="preserve">Опис</w:t>
            </w:r>
          </w:p>
        </w:tc>
        <w:tc>
          <w:tcPr/>
          <w:p w:rsidR="00000000" w:rsidDel="00000000" w:rsidP="00000000" w:rsidRDefault="00000000" w:rsidRPr="00000000" w14:paraId="000000DF">
            <w:pPr>
              <w:widowControl w:val="0"/>
              <w:rPr/>
            </w:pPr>
            <w:r w:rsidDel="00000000" w:rsidR="00000000" w:rsidRPr="00000000">
              <w:rPr>
                <w:rtl w:val="0"/>
              </w:rPr>
              <w:t xml:space="preserve">Таблиця містить перелік будинків та споруд, в яких здійснені перевірки або моніторинг дотримання вимог доступності. Зокрема, назву, адресу, дату, інформацію про суб'єктів, що здійснювали перевірки, та суб'єктів містобудування, відповідальних за дотримання вимог. Кожним записом в таблиці є одна будівля або споруда.</w:t>
            </w:r>
          </w:p>
        </w:tc>
      </w:tr>
      <w:tr>
        <w:trPr>
          <w:trHeight w:val="160" w:hRule="atLeast"/>
        </w:trPr>
        <w:tc>
          <w:tcPr/>
          <w:p w:rsidR="00000000" w:rsidDel="00000000" w:rsidP="00000000" w:rsidRDefault="00000000" w:rsidRPr="00000000" w14:paraId="000000E0">
            <w:pPr>
              <w:rPr/>
            </w:pPr>
            <w:r w:rsidDel="00000000" w:rsidR="00000000" w:rsidRPr="00000000">
              <w:rPr>
                <w:rtl w:val="0"/>
              </w:rPr>
              <w:t xml:space="preserve">Формат</w:t>
            </w:r>
          </w:p>
        </w:tc>
        <w:tc>
          <w:tcPr/>
          <w:p w:rsidR="00000000" w:rsidDel="00000000" w:rsidP="00000000" w:rsidRDefault="00000000" w:rsidRPr="00000000" w14:paraId="000000E1">
            <w:pPr>
              <w:widowControl w:val="0"/>
              <w:rPr/>
            </w:pPr>
            <w:r w:rsidDel="00000000" w:rsidR="00000000" w:rsidRPr="00000000">
              <w:rPr>
                <w:rtl w:val="0"/>
              </w:rPr>
              <w:t xml:space="preserve">XLSX</w:t>
            </w:r>
          </w:p>
        </w:tc>
      </w:tr>
    </w:tbl>
    <w:p w:rsidR="00000000" w:rsidDel="00000000" w:rsidP="00000000" w:rsidRDefault="00000000" w:rsidRPr="00000000" w14:paraId="000000E2">
      <w:pPr>
        <w:spacing w:after="200" w:lineRule="auto"/>
        <w:jc w:val="center"/>
        <w:rPr>
          <w:b w:val="1"/>
        </w:rPr>
      </w:pPr>
      <w:r w:rsidDel="00000000" w:rsidR="00000000" w:rsidRPr="00000000">
        <w:rPr>
          <w:rtl w:val="0"/>
        </w:rPr>
      </w:r>
    </w:p>
    <w:p w:rsidR="00000000" w:rsidDel="00000000" w:rsidP="00000000" w:rsidRDefault="00000000" w:rsidRPr="00000000" w14:paraId="000000E3">
      <w:pPr>
        <w:spacing w:after="200" w:lineRule="auto"/>
        <w:jc w:val="center"/>
        <w:rPr>
          <w:b w:val="1"/>
        </w:rPr>
      </w:pPr>
      <w:r w:rsidDel="00000000" w:rsidR="00000000" w:rsidRPr="00000000">
        <w:rPr>
          <w:b w:val="1"/>
          <w:rtl w:val="0"/>
        </w:rPr>
        <w:t xml:space="preserve">Таблиця 5 — Приклад паспорта ресурсу Norms </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E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E5">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E6">
            <w:pPr>
              <w:rPr/>
            </w:pPr>
            <w:r w:rsidDel="00000000" w:rsidR="00000000" w:rsidRPr="00000000">
              <w:rPr>
                <w:rtl w:val="0"/>
              </w:rPr>
              <w:t xml:space="preserve">Назва ресурсу</w:t>
            </w:r>
          </w:p>
        </w:tc>
        <w:tc>
          <w:tcPr/>
          <w:p w:rsidR="00000000" w:rsidDel="00000000" w:rsidP="00000000" w:rsidRDefault="00000000" w:rsidRPr="00000000" w14:paraId="000000E7">
            <w:pPr>
              <w:rPr/>
            </w:pPr>
            <w:r w:rsidDel="00000000" w:rsidR="00000000" w:rsidRPr="00000000">
              <w:rPr>
                <w:rtl w:val="0"/>
              </w:rPr>
              <w:t xml:space="preserve">Norms.xlsx</w:t>
            </w:r>
          </w:p>
        </w:tc>
      </w:tr>
      <w:tr>
        <w:tc>
          <w:tcPr/>
          <w:p w:rsidR="00000000" w:rsidDel="00000000" w:rsidP="00000000" w:rsidRDefault="00000000" w:rsidRPr="00000000" w14:paraId="000000E8">
            <w:pPr>
              <w:rPr/>
            </w:pPr>
            <w:r w:rsidDel="00000000" w:rsidR="00000000" w:rsidRPr="00000000">
              <w:rPr>
                <w:rtl w:val="0"/>
              </w:rPr>
              <w:t xml:space="preserve">Опис</w:t>
            </w:r>
          </w:p>
        </w:tc>
        <w:tc>
          <w:tcPr/>
          <w:p w:rsidR="00000000" w:rsidDel="00000000" w:rsidP="00000000" w:rsidRDefault="00000000" w:rsidRPr="00000000" w14:paraId="000000E9">
            <w:pPr>
              <w:widowControl w:val="0"/>
              <w:rPr/>
            </w:pPr>
            <w:r w:rsidDel="00000000" w:rsidR="00000000" w:rsidRPr="00000000">
              <w:rPr>
                <w:rtl w:val="0"/>
              </w:rPr>
              <w:t xml:space="preserve">Таблиця містить перелік вимог державних будівельних норм та стан їх дотримання в будівлях та спорудах, що пройшли перевірку/моніторинг. Зокрема, номер державних будівельних норм, номер пункту, вимога норми, статус дотримання, фото, назва та ідентифікатор будинку або споруди.</w:t>
            </w:r>
          </w:p>
        </w:tc>
      </w:tr>
      <w:tr>
        <w:trPr>
          <w:trHeight w:val="160" w:hRule="atLeast"/>
        </w:trPr>
        <w:tc>
          <w:tcPr/>
          <w:p w:rsidR="00000000" w:rsidDel="00000000" w:rsidP="00000000" w:rsidRDefault="00000000" w:rsidRPr="00000000" w14:paraId="000000EA">
            <w:pPr>
              <w:rPr/>
            </w:pPr>
            <w:r w:rsidDel="00000000" w:rsidR="00000000" w:rsidRPr="00000000">
              <w:rPr>
                <w:rtl w:val="0"/>
              </w:rPr>
              <w:t xml:space="preserve">Формат</w:t>
            </w:r>
          </w:p>
        </w:tc>
        <w:tc>
          <w:tcPr/>
          <w:p w:rsidR="00000000" w:rsidDel="00000000" w:rsidP="00000000" w:rsidRDefault="00000000" w:rsidRPr="00000000" w14:paraId="000000EB">
            <w:pPr>
              <w:widowControl w:val="0"/>
              <w:rPr/>
            </w:pPr>
            <w:r w:rsidDel="00000000" w:rsidR="00000000" w:rsidRPr="00000000">
              <w:rPr>
                <w:rtl w:val="0"/>
              </w:rPr>
              <w:t xml:space="preserve">XLSX</w:t>
            </w:r>
          </w:p>
        </w:tc>
      </w:tr>
    </w:tbl>
    <w:p w:rsidR="00000000" w:rsidDel="00000000" w:rsidP="00000000" w:rsidRDefault="00000000" w:rsidRPr="00000000" w14:paraId="000000EC">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infrastructure/accessibility/buildings/Example.xlsx" TargetMode="External"/><Relationship Id="rId22" Type="http://schemas.openxmlformats.org/officeDocument/2006/relationships/hyperlink" Target="https://github.com/tapas-opendata/decreet-835-mun/raw/master/infrastructure/accessibility/buildings/Structure.xlsx" TargetMode="External"/><Relationship Id="rId21" Type="http://schemas.openxmlformats.org/officeDocument/2006/relationships/hyperlink" Target="https://github.com/tapas-opendata/decreet-835-mun/raw/master/infrastructure/accessibility/buildings/Example.xlsx" TargetMode="External"/><Relationship Id="rId24" Type="http://schemas.openxmlformats.org/officeDocument/2006/relationships/hyperlink" Target="https://raw.githubusercontent.com/tapas-opendata/decreet-835-mun/master/infrastructure/accessibility/buildings/Structure.json" TargetMode="External"/><Relationship Id="rId23" Type="http://schemas.openxmlformats.org/officeDocument/2006/relationships/hyperlink" Target="https://raw.githubusercontent.com/tapas-opendata/decreet-835-mun/master/infrastructure/accessibility/buildings/Structur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553-2011-%D0%BF" TargetMode="External"/><Relationship Id="rId26" Type="http://schemas.openxmlformats.org/officeDocument/2006/relationships/hyperlink" Target="https://github.com/tapas-opendata/decreet-835-mun/raw/master/infrastructure/accessibility/norms/Norms.xlsx" TargetMode="External"/><Relationship Id="rId25" Type="http://schemas.openxmlformats.org/officeDocument/2006/relationships/hyperlink" Target="https://docs.ckan.org/en/latest/maintaining/datastore.html" TargetMode="External"/><Relationship Id="rId28" Type="http://schemas.openxmlformats.org/officeDocument/2006/relationships/hyperlink" Target="https://github.com/tapas-opendata/decreet-835-mun/raw/master/infrastructure/accessibility/norms/Example.xlsx" TargetMode="External"/><Relationship Id="rId27" Type="http://schemas.openxmlformats.org/officeDocument/2006/relationships/hyperlink" Target="https://github.com/tapas-opendata/decreet-835-mun/raw/master/infrastructure/accessibility/norms/Example.xlsx" TargetMode="External"/><Relationship Id="rId5" Type="http://schemas.openxmlformats.org/officeDocument/2006/relationships/styles" Target="styles.xml"/><Relationship Id="rId6" Type="http://schemas.openxmlformats.org/officeDocument/2006/relationships/hyperlink" Target="https://zakon.rada.gov.ua/laws/show/3038-17" TargetMode="External"/><Relationship Id="rId29" Type="http://schemas.openxmlformats.org/officeDocument/2006/relationships/hyperlink" Target="https://github.com/tapas-opendata/decreet-835-mun/raw/master/infrastructure/accessibility/norms/Structure.xlsx" TargetMode="External"/><Relationship Id="rId7" Type="http://schemas.openxmlformats.org/officeDocument/2006/relationships/hyperlink" Target="https://zakon.rada.gov.ua/laws/show/2807-15" TargetMode="External"/><Relationship Id="rId8" Type="http://schemas.openxmlformats.org/officeDocument/2006/relationships/hyperlink" Target="https://zakon.rada.gov.ua/laws/show/875-12" TargetMode="External"/><Relationship Id="rId31" Type="http://schemas.openxmlformats.org/officeDocument/2006/relationships/hyperlink" Target="https://raw.githubusercontent.com/tapas-opendata/decreet-835-mun/master/infrastructure/accessibility/norms/Structure.json" TargetMode="External"/><Relationship Id="rId30" Type="http://schemas.openxmlformats.org/officeDocument/2006/relationships/hyperlink" Target="https://raw.githubusercontent.com/tapas-opendata/decreet-835-mun/master/infrastructure/accessibility/norms/Structure.csv" TargetMode="External"/><Relationship Id="rId11" Type="http://schemas.openxmlformats.org/officeDocument/2006/relationships/hyperlink" Target="http://www.minregion.gov.ua/wp-content/uploads/2019/01/V2240-2018.pdf" TargetMode="External"/><Relationship Id="rId10" Type="http://schemas.openxmlformats.org/officeDocument/2006/relationships/hyperlink" Target="https://zakon.rada.gov.ua/laws/show/3038-17" TargetMode="External"/><Relationship Id="rId13" Type="http://schemas.openxmlformats.org/officeDocument/2006/relationships/hyperlink" Target="http://www.minregion.gov.ua/wp-content/uploads/2017/12/24.1.-DBN-B.2.2-52011.-Planuvannya-ta-zabudova-mist-sel.pdf" TargetMode="External"/><Relationship Id="rId12" Type="http://schemas.openxmlformats.org/officeDocument/2006/relationships/hyperlink" Target="http://www.minregion.gov.ua/wp-content/uploads/2018/06/V235_InBul.pdf" TargetMode="External"/><Relationship Id="rId15" Type="http://schemas.openxmlformats.org/officeDocument/2006/relationships/hyperlink" Target="https://zakon.rada.gov.ua/laws/show/875-12" TargetMode="External"/><Relationship Id="rId14" Type="http://schemas.openxmlformats.org/officeDocument/2006/relationships/hyperlink" Target="https://zakon.rada.gov.ua/laws/show/257-2017-%D0%BF" TargetMode="External"/><Relationship Id="rId17" Type="http://schemas.openxmlformats.org/officeDocument/2006/relationships/hyperlink" Target="https://dabi.gov.ua/phocadownload/to/r_e_k_o_m_e_n_d_a_ts____shchodo_perevrki_obktv_budvnitstva_na_dotrimannya_vimog_dostupnost_dlya_malomoblnikh_grup_naselennya.pdf" TargetMode="External"/><Relationship Id="rId16" Type="http://schemas.openxmlformats.org/officeDocument/2006/relationships/hyperlink" Target="https://zakon.rada.gov.ua/rada/show/v0300667-06" TargetMode="External"/><Relationship Id="rId19" Type="http://schemas.openxmlformats.org/officeDocument/2006/relationships/hyperlink" Target="https://github.com/tapas-opendata/decreet-835-mun/raw/master/infrastructure/accessibility/buildings/Buildings.xlsx" TargetMode="External"/><Relationship Id="rId18" Type="http://schemas.openxmlformats.org/officeDocument/2006/relationships/hyperlink" Target="https://dabi.gov.ua/wp-content/uploads/2018/06/edited_Dorozhnya-kar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