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Дані про паркування, у тому числі про розміщення майданчиків, їх операторів, обладнання та функціонування</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Постанова КМУ «Про затвердження Правил паркування транспортних засобів» від 03.12.2009 № 1342</w:t>
              </w:r>
            </w:hyperlink>
            <w:r w:rsidDel="00000000" w:rsidR="00000000" w:rsidRPr="00000000">
              <w:rPr>
                <w:rtl w:val="0"/>
              </w:rPr>
              <w:t xml:space="preserve">, </w:t>
            </w:r>
            <w:hyperlink r:id="rId8">
              <w:r w:rsidDel="00000000" w:rsidR="00000000" w:rsidRPr="00000000">
                <w:rPr>
                  <w:color w:val="1155cc"/>
                  <w:u w:val="single"/>
                  <w:rtl w:val="0"/>
                </w:rPr>
                <w:t xml:space="preserve">Постанова КМУ «Про затвердження Порядку формування тарифів на послуги з користування майданчиками для платного паркування транспортних засобів» від 02.03.2010 № 258</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Відповідно до Закону України «Про місцеве самоврядування в Україні» (статті 28, 30) органи місцевого самоврядування затверджують перелік місць для паркування, а також приймають рішення про їх розміщення, обладнання та функціонування.</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Зміни характеристик розміщення, обладнання й функціонування майданчиків для паркування</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 геопросторові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 або векторних геопросторових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Виконавчі органи сільських, селищних, міських рад затверджують перелік спеціально відведених місць для паркування транспортних засобів (пункт 8 статті 28), а також приймають рішення про розміщення, обладнання та функціонування майданчиків для паркування (частина 7 прим. 1 статті 30 </w:t>
      </w:r>
      <w:hyperlink r:id="rId9">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Відповідні вимоги визначені </w:t>
      </w:r>
      <w:hyperlink r:id="rId10">
        <w:r w:rsidDel="00000000" w:rsidR="00000000" w:rsidRPr="00000000">
          <w:rPr>
            <w:color w:val="1155cc"/>
            <w:u w:val="single"/>
            <w:rtl w:val="0"/>
          </w:rPr>
          <w:t xml:space="preserve">Постановою КМУ від 03.12.2009 № 1342</w:t>
        </w:r>
      </w:hyperlink>
      <w:r w:rsidDel="00000000" w:rsidR="00000000" w:rsidRPr="00000000">
        <w:rPr>
          <w:rtl w:val="0"/>
        </w:rPr>
        <w:t xml:space="preserve">. Серед іншого, вони передбачають оприлюднення інформації про операторів на майданчиках для платного паркування (пункт 21). Порядок формування тарифів на паркування, визначений </w:t>
      </w:r>
      <w:hyperlink r:id="rId11">
        <w:r w:rsidDel="00000000" w:rsidR="00000000" w:rsidRPr="00000000">
          <w:rPr>
            <w:color w:val="1155cc"/>
            <w:u w:val="single"/>
            <w:rtl w:val="0"/>
          </w:rPr>
          <w:t xml:space="preserve">Постановою КМУ від 02.03.2010 № 258</w:t>
        </w:r>
      </w:hyperlink>
      <w:r w:rsidDel="00000000" w:rsidR="00000000" w:rsidRPr="00000000">
        <w:rPr>
          <w:rtl w:val="0"/>
        </w:rPr>
        <w:t xml:space="preserve">. Органи місцевого самоврядування можуть також упроваджувати власну нормативно-правову базу, наприклад, </w:t>
      </w:r>
      <w:hyperlink r:id="rId12">
        <w:r w:rsidDel="00000000" w:rsidR="00000000" w:rsidRPr="00000000">
          <w:rPr>
            <w:color w:val="1155cc"/>
            <w:u w:val="single"/>
            <w:rtl w:val="0"/>
          </w:rPr>
          <w:t xml:space="preserve">Ухвала Львівської міської ради від 29.12.2011 № 1072</w:t>
        </w:r>
      </w:hyperlink>
      <w:r w:rsidDel="00000000" w:rsidR="00000000" w:rsidRPr="00000000">
        <w:rPr>
          <w:rtl w:val="0"/>
        </w:rPr>
        <w:t xml:space="preserve">, </w:t>
      </w:r>
      <w:hyperlink r:id="rId13">
        <w:r w:rsidDel="00000000" w:rsidR="00000000" w:rsidRPr="00000000">
          <w:rPr>
            <w:color w:val="1155cc"/>
            <w:u w:val="single"/>
            <w:rtl w:val="0"/>
          </w:rPr>
          <w:t xml:space="preserve">Рішення Дніпровської міської ради від 21.12.2016 № 38/17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1"/>
        <w:spacing w:after="200" w:lineRule="auto"/>
        <w:rPr/>
      </w:pPr>
      <w:bookmarkStart w:colFirst="0" w:colLast="0" w:name="_u2v0u23z4k1n"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spacing w:line="276" w:lineRule="auto"/>
        <w:rPr/>
      </w:pPr>
      <w:r w:rsidDel="00000000" w:rsidR="00000000" w:rsidRPr="00000000">
        <w:rPr>
          <w:rtl w:val="0"/>
        </w:rPr>
        <w:t xml:space="preserve">Набір складається з двох таблиць (ресурсів):</w:t>
      </w:r>
    </w:p>
    <w:p w:rsidR="00000000" w:rsidDel="00000000" w:rsidP="00000000" w:rsidRDefault="00000000" w:rsidRPr="00000000" w14:paraId="00000015">
      <w:pPr>
        <w:numPr>
          <w:ilvl w:val="0"/>
          <w:numId w:val="1"/>
        </w:numPr>
        <w:spacing w:line="276" w:lineRule="auto"/>
        <w:ind w:left="720" w:hanging="360"/>
        <w:rPr>
          <w:sz w:val="22"/>
          <w:szCs w:val="22"/>
        </w:rPr>
      </w:pPr>
      <w:r w:rsidDel="00000000" w:rsidR="00000000" w:rsidRPr="00000000">
        <w:rPr>
          <w:b w:val="1"/>
          <w:rtl w:val="0"/>
        </w:rPr>
        <w:t xml:space="preserve">Operators</w:t>
      </w:r>
      <w:r w:rsidDel="00000000" w:rsidR="00000000" w:rsidRPr="00000000">
        <w:rPr>
          <w:rtl w:val="0"/>
        </w:rPr>
        <w:t xml:space="preserve"> — довідник операторів паркувальних майданчиків;</w:t>
      </w:r>
    </w:p>
    <w:p w:rsidR="00000000" w:rsidDel="00000000" w:rsidP="00000000" w:rsidRDefault="00000000" w:rsidRPr="00000000" w14:paraId="00000016">
      <w:pPr>
        <w:numPr>
          <w:ilvl w:val="0"/>
          <w:numId w:val="1"/>
        </w:numPr>
        <w:spacing w:line="276" w:lineRule="auto"/>
        <w:ind w:left="720" w:hanging="360"/>
        <w:rPr>
          <w:sz w:val="22"/>
          <w:szCs w:val="22"/>
        </w:rPr>
      </w:pPr>
      <w:r w:rsidDel="00000000" w:rsidR="00000000" w:rsidRPr="00000000">
        <w:rPr>
          <w:b w:val="1"/>
          <w:rtl w:val="0"/>
        </w:rPr>
        <w:t xml:space="preserve">ParkingLots</w:t>
      </w:r>
      <w:r w:rsidDel="00000000" w:rsidR="00000000" w:rsidRPr="00000000">
        <w:rPr>
          <w:rtl w:val="0"/>
        </w:rPr>
        <w:t xml:space="preserve"> — перелік майданчиків для паркування.</w:t>
      </w:r>
    </w:p>
    <w:p w:rsidR="00000000" w:rsidDel="00000000" w:rsidP="00000000" w:rsidRDefault="00000000" w:rsidRPr="00000000" w14:paraId="00000017">
      <w:pPr>
        <w:pStyle w:val="Heading2"/>
        <w:spacing w:after="200" w:line="276" w:lineRule="auto"/>
        <w:rPr/>
      </w:pPr>
      <w:bookmarkStart w:colFirst="0" w:colLast="0" w:name="_bogzd01qiy0u" w:id="4"/>
      <w:bookmarkEnd w:id="4"/>
      <w:r w:rsidDel="00000000" w:rsidR="00000000" w:rsidRPr="00000000">
        <w:rPr>
          <w:rtl w:val="0"/>
        </w:rPr>
        <w:t xml:space="preserve">3.1. Довідник операторів паркувальних майданчиків (ресурс Operators)</w:t>
      </w: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Operators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Один оператор паркувального майданчика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hyperlink r:id="rId14">
              <w:r w:rsidDel="00000000" w:rsidR="00000000" w:rsidRPr="00000000">
                <w:rPr>
                  <w:color w:val="1155cc"/>
                  <w:u w:val="single"/>
                  <w:rtl w:val="0"/>
                </w:rPr>
                <w:t xml:space="preserve">Operators.xlsx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pPr>
            <w:hyperlink r:id="rId15">
              <w:r w:rsidDel="00000000" w:rsidR="00000000" w:rsidRPr="00000000">
                <w:rPr>
                  <w:color w:val="1155cc"/>
                  <w:u w:val="single"/>
                  <w:rtl w:val="0"/>
                </w:rPr>
                <w:t xml:space="preserve">Example</w:t>
              </w:r>
            </w:hyperlink>
            <w:hyperlink r:id="rId16">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pPr>
            <w:hyperlink r:id="rId17">
              <w:r w:rsidDel="00000000" w:rsidR="00000000" w:rsidRPr="00000000">
                <w:rPr>
                  <w:color w:val="1155cc"/>
                  <w:u w:val="single"/>
                  <w:rtl w:val="0"/>
                </w:rPr>
                <w:t xml:space="preserve">Structure.xlsx</w:t>
              </w:r>
            </w:hyperlink>
            <w:r w:rsidDel="00000000" w:rsidR="00000000" w:rsidRPr="00000000">
              <w:rPr>
                <w:rtl w:val="0"/>
              </w:rPr>
              <w:t xml:space="preserve">, </w:t>
            </w:r>
            <w:hyperlink r:id="rId18">
              <w:r w:rsidDel="00000000" w:rsidR="00000000" w:rsidRPr="00000000">
                <w:rPr>
                  <w:color w:val="1155cc"/>
                  <w:u w:val="single"/>
                  <w:rtl w:val="0"/>
                </w:rPr>
                <w:t xml:space="preserve">Structure.csv</w:t>
              </w:r>
            </w:hyperlink>
            <w:r w:rsidDel="00000000" w:rsidR="00000000" w:rsidRPr="00000000">
              <w:rPr>
                <w:rtl w:val="0"/>
              </w:rPr>
              <w:t xml:space="preserve">, </w:t>
            </w:r>
            <w:hyperlink r:id="rId19">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8">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0">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A">
      <w:pPr>
        <w:spacing w:after="200" w:line="276" w:lineRule="auto"/>
        <w:rPr/>
      </w:pPr>
      <w:r w:rsidDel="00000000" w:rsidR="00000000" w:rsidRPr="00000000">
        <w:rPr>
          <w:rtl w:val="0"/>
        </w:rPr>
      </w:r>
    </w:p>
    <w:p w:rsidR="00000000" w:rsidDel="00000000" w:rsidP="00000000" w:rsidRDefault="00000000" w:rsidRPr="00000000" w14:paraId="0000002B">
      <w:pPr>
        <w:spacing w:after="200" w:line="276" w:lineRule="auto"/>
        <w:jc w:val="center"/>
        <w:rPr/>
      </w:pPr>
      <w:r w:rsidDel="00000000" w:rsidR="00000000" w:rsidRPr="00000000">
        <w:rPr>
          <w:b w:val="1"/>
          <w:rtl w:val="0"/>
        </w:rPr>
        <w:t xml:space="preserve">Таблиця 1 — Структура таблиці (ресурсу) Operators</w:t>
      </w:r>
      <w:r w:rsidDel="00000000" w:rsidR="00000000" w:rsidRPr="00000000">
        <w:rPr>
          <w:rtl w:val="0"/>
        </w:rPr>
      </w:r>
    </w:p>
    <w:tbl>
      <w:tblPr>
        <w:tblStyle w:val="Table4"/>
        <w:tblW w:w="9075.0" w:type="dxa"/>
        <w:jc w:val="left"/>
        <w:tblInd w:w="99.36" w:type="pc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1335"/>
        <w:gridCol w:w="1680"/>
        <w:gridCol w:w="3165"/>
        <w:gridCol w:w="1350"/>
        <w:gridCol w:w="1545"/>
        <w:tblGridChange w:id="0">
          <w:tblGrid>
            <w:gridCol w:w="1335"/>
            <w:gridCol w:w="1680"/>
            <w:gridCol w:w="3165"/>
            <w:gridCol w:w="1350"/>
            <w:gridCol w:w="1545"/>
          </w:tblGrid>
        </w:tblGridChange>
      </w:tblGrid>
      <w:tr>
        <w:trPr>
          <w:trHeight w:val="100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2C">
            <w:pPr>
              <w:spacing w:line="276" w:lineRule="auto"/>
              <w:rPr>
                <w:b w:val="1"/>
              </w:rPr>
            </w:pPr>
            <w:r w:rsidDel="00000000" w:rsidR="00000000" w:rsidRPr="00000000">
              <w:rPr>
                <w:b w:val="1"/>
                <w:rtl w:val="0"/>
              </w:rPr>
              <w:t xml:space="preserve">Назва колонки (name)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2D">
            <w:pPr>
              <w:spacing w:line="276" w:lineRule="auto"/>
              <w:rPr>
                <w:b w:val="1"/>
              </w:rPr>
            </w:pPr>
            <w:r w:rsidDel="00000000" w:rsidR="00000000" w:rsidRPr="00000000">
              <w:rPr>
                <w:b w:val="1"/>
                <w:rtl w:val="0"/>
              </w:rPr>
              <w:t xml:space="preserve">Заголовок колонки (title)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2E">
            <w:pPr>
              <w:spacing w:line="276" w:lineRule="auto"/>
              <w:rPr>
                <w:b w:val="1"/>
              </w:rPr>
            </w:pPr>
            <w:r w:rsidDel="00000000" w:rsidR="00000000" w:rsidRPr="00000000">
              <w:rPr>
                <w:b w:val="1"/>
                <w:rtl w:val="0"/>
              </w:rPr>
              <w:t xml:space="preserve">Опис значень (description)</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2F">
            <w:pPr>
              <w:spacing w:line="276" w:lineRule="auto"/>
              <w:rPr>
                <w:b w:val="1"/>
              </w:rPr>
            </w:pPr>
            <w:r w:rsidDel="00000000" w:rsidR="00000000" w:rsidRPr="00000000">
              <w:rPr>
                <w:b w:val="1"/>
                <w:rtl w:val="0"/>
              </w:rPr>
              <w:t xml:space="preserve">Тип даних (datatype)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0">
            <w:pPr>
              <w:spacing w:line="276" w:lineRule="auto"/>
              <w:rPr>
                <w:b w:val="1"/>
              </w:rPr>
            </w:pPr>
            <w:r w:rsidDel="00000000" w:rsidR="00000000" w:rsidRPr="00000000">
              <w:rPr>
                <w:b w:val="1"/>
                <w:rtl w:val="0"/>
              </w:rPr>
              <w:t xml:space="preserve">Вимога заповнення (required)</w:t>
            </w:r>
          </w:p>
        </w:tc>
      </w:tr>
      <w:tr>
        <w:trPr>
          <w:trHeight w:val="146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1">
            <w:pPr>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2">
            <w:pPr>
              <w:rPr/>
            </w:pPr>
            <w:r w:rsidDel="00000000" w:rsidR="00000000" w:rsidRPr="00000000">
              <w:rPr>
                <w:rtl w:val="0"/>
              </w:rPr>
              <w:t xml:space="preserve">Ідентифікатор оператора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3">
            <w:pPr>
              <w:rPr/>
            </w:pPr>
            <w:r w:rsidDel="00000000" w:rsidR="00000000" w:rsidRPr="00000000">
              <w:rPr>
                <w:rtl w:val="0"/>
              </w:rPr>
              <w:t xml:space="preserve">Код ЄДРПОУ оператора. Наприклад: 01234567. У випадку ФОП дані про РНОКПП знеособлюються.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4">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5">
            <w:pPr>
              <w:rPr/>
            </w:pPr>
            <w:r w:rsidDel="00000000" w:rsidR="00000000" w:rsidRPr="00000000">
              <w:rPr>
                <w:rtl w:val="0"/>
              </w:rPr>
              <w:t xml:space="preserve">Істина (true)</w:t>
            </w:r>
          </w:p>
        </w:tc>
      </w:tr>
      <w:tr>
        <w:trPr>
          <w:trHeight w:val="146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6">
            <w:pPr>
              <w:spacing w:line="276" w:lineRule="auto"/>
              <w:rPr/>
            </w:pP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7">
            <w:pPr>
              <w:spacing w:line="276" w:lineRule="auto"/>
              <w:rPr/>
            </w:pPr>
            <w:r w:rsidDel="00000000" w:rsidR="00000000" w:rsidRPr="00000000">
              <w:rPr>
                <w:rtl w:val="0"/>
              </w:rPr>
              <w:t xml:space="preserve">Назва оператора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8">
            <w:pPr>
              <w:spacing w:line="276" w:lineRule="auto"/>
              <w:rPr/>
            </w:pPr>
            <w:r w:rsidDel="00000000" w:rsidR="00000000" w:rsidRPr="00000000">
              <w:rPr>
                <w:rtl w:val="0"/>
              </w:rPr>
              <w:t xml:space="preserve">Прізвище, ім’я, по батькові або назва оператора. Наприклад: ФОП Супрун Олександр Іванович.</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9">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A">
            <w:pPr>
              <w:spacing w:line="276" w:lineRule="auto"/>
              <w:rPr/>
            </w:pPr>
            <w:r w:rsidDel="00000000" w:rsidR="00000000" w:rsidRPr="00000000">
              <w:rPr>
                <w:rtl w:val="0"/>
              </w:rPr>
              <w:t xml:space="preserve">Істина (true)</w:t>
            </w:r>
          </w:p>
        </w:tc>
      </w:tr>
      <w:tr>
        <w:trPr>
          <w:trHeight w:val="146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addressPostCode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C">
            <w:pPr>
              <w:spacing w:line="276" w:lineRule="auto"/>
              <w:rPr/>
            </w:pPr>
            <w:r w:rsidDel="00000000" w:rsidR="00000000" w:rsidRPr="00000000">
              <w:rPr>
                <w:rtl w:val="0"/>
              </w:rPr>
              <w:t xml:space="preserve">Поштовий індекс</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D">
            <w:pPr>
              <w:spacing w:line="276" w:lineRule="auto"/>
              <w:rPr/>
            </w:pPr>
            <w:r w:rsidDel="00000000" w:rsidR="00000000" w:rsidRPr="00000000">
              <w:rPr>
                <w:rtl w:val="0"/>
              </w:rPr>
              <w:t xml:space="preserve">Поштовий індекс адреси місцезнаходження оператора. Наприклад: 71890.</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E">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3F">
            <w:pPr>
              <w:spacing w:line="276" w:lineRule="auto"/>
              <w:rPr/>
            </w:pPr>
            <w:r w:rsidDel="00000000" w:rsidR="00000000" w:rsidRPr="00000000">
              <w:rPr>
                <w:rtl w:val="0"/>
              </w:rPr>
              <w:t xml:space="preserve">Істина (true)</w:t>
            </w:r>
          </w:p>
        </w:tc>
      </w:tr>
      <w:tr>
        <w:trPr>
          <w:trHeight w:val="24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1">
            <w:pPr>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2">
            <w:pPr>
              <w:spacing w:line="276" w:lineRule="auto"/>
              <w:rPr/>
            </w:pPr>
            <w:r w:rsidDel="00000000" w:rsidR="00000000" w:rsidRPr="00000000">
              <w:rPr>
                <w:rtl w:val="0"/>
              </w:rPr>
              <w:t xml:space="preserve">Назва країни.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3">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4">
            <w:pPr>
              <w:spacing w:line="276" w:lineRule="auto"/>
              <w:rPr/>
            </w:pPr>
            <w:r w:rsidDel="00000000" w:rsidR="00000000" w:rsidRPr="00000000">
              <w:rPr>
                <w:rtl w:val="0"/>
              </w:rPr>
              <w:t xml:space="preserve">Істина (true)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6">
            <w:pPr>
              <w:spacing w:line="276" w:lineRule="auto"/>
              <w:rPr/>
            </w:pPr>
            <w:r w:rsidDel="00000000" w:rsidR="00000000" w:rsidRPr="00000000">
              <w:rPr>
                <w:rtl w:val="0"/>
              </w:rPr>
              <w:t xml:space="preserve">Регіон</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7">
            <w:pPr>
              <w:spacing w:line="276" w:lineRule="auto"/>
              <w:rPr/>
            </w:pPr>
            <w:r w:rsidDel="00000000" w:rsidR="00000000" w:rsidRPr="00000000">
              <w:rPr>
                <w:rtl w:val="0"/>
              </w:rPr>
              <w:t xml:space="preserve">Назва регіону місцезнаходження оператора. Наприклад: Полтавська область. </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8">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9">
            <w:pPr>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B">
            <w:pPr>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D">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4E">
            <w:pPr>
              <w:spacing w:line="276" w:lineRule="auto"/>
              <w:rPr/>
            </w:pPr>
            <w:r w:rsidDel="00000000" w:rsidR="00000000" w:rsidRPr="00000000">
              <w:rPr>
                <w:rtl w:val="0"/>
              </w:rPr>
              <w:t xml:space="preserve">Хибність (false)</w:t>
            </w:r>
          </w:p>
        </w:tc>
      </w:tr>
      <w:tr>
        <w:trPr>
          <w:trHeight w:val="14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50">
            <w:pPr>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52">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53">
            <w:pPr>
              <w:spacing w:line="276" w:lineRule="auto"/>
              <w:rPr/>
            </w:pPr>
            <w:r w:rsidDel="00000000" w:rsidR="00000000" w:rsidRPr="00000000">
              <w:rPr>
                <w:rtl w:val="0"/>
              </w:rPr>
              <w:t xml:space="preserve">Істина (true)</w:t>
            </w:r>
          </w:p>
        </w:tc>
      </w:tr>
      <w:tr>
        <w:trPr>
          <w:trHeight w:val="14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місцезнаходження тощо.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Істина (true)</w:t>
            </w:r>
          </w:p>
        </w:tc>
      </w:tr>
      <w:tr>
        <w:trPr>
          <w:trHeight w:val="14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Номер будівлі (об’єкта)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Істина (true)</w:t>
            </w:r>
          </w:p>
        </w:tc>
      </w:tr>
      <w:tr>
        <w:trPr>
          <w:trHeight w:val="14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Хибність (false)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addressLocatorName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Назва будівлі або її частини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Назва або опис, що дозволяє чіткіше визначити розміщення. Зокрема, назва житлового комплексу, школи, лікарні, офісного або торгового центру; частина будівлі, наприклад, корпус, крило; приміщення в будівлі, наприклад, квартира, кабінет, офіс, зала; інший варіант написання номера адреси; довільний текстовий опис, що дозволяє визначити розміщення; інший ідентифікатор.</w:t>
              <w:tab/>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widowControl w:val="0"/>
              <w:rPr/>
            </w:pPr>
            <w:r w:rsidDel="00000000" w:rsidR="00000000" w:rsidRPr="00000000">
              <w:rPr>
                <w:rtl w:val="0"/>
              </w:rPr>
              <w:t xml:space="preserve">Хибність (false)</w:t>
            </w:r>
          </w:p>
        </w:tc>
      </w:tr>
      <w:tr>
        <w:trPr>
          <w:trHeight w:val="146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8">
            <w:pPr>
              <w:spacing w:line="276" w:lineRule="auto"/>
              <w:rPr/>
            </w:pPr>
            <w:r w:rsidDel="00000000" w:rsidR="00000000" w:rsidRPr="00000000">
              <w:rPr>
                <w:rtl w:val="0"/>
              </w:rPr>
              <w:t xml:space="preserve">contactPointName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9">
            <w:pPr>
              <w:spacing w:line="276" w:lineRule="auto"/>
              <w:rPr/>
            </w:pPr>
            <w:r w:rsidDel="00000000" w:rsidR="00000000" w:rsidRPr="00000000">
              <w:rPr>
                <w:rtl w:val="0"/>
              </w:rPr>
              <w:t xml:space="preserve">Назва приймальні або ім’я контактної особи</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A">
            <w:pPr>
              <w:spacing w:line="276" w:lineRule="auto"/>
              <w:rPr/>
            </w:pPr>
            <w:r w:rsidDel="00000000" w:rsidR="00000000" w:rsidRPr="00000000">
              <w:rPr>
                <w:rtl w:val="0"/>
              </w:rPr>
              <w:t xml:space="preserve">Прізвище, ім’я, по батькові контактної особи або назва приймальні. Наприклад: Call-центр.</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B">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C">
            <w:pPr>
              <w:spacing w:line="276" w:lineRule="auto"/>
              <w:rPr/>
            </w:pPr>
            <w:r w:rsidDel="00000000" w:rsidR="00000000" w:rsidRPr="00000000">
              <w:rPr>
                <w:rtl w:val="0"/>
              </w:rPr>
              <w:t xml:space="preserve">Істина (true)</w:t>
            </w:r>
          </w:p>
        </w:tc>
      </w:tr>
      <w:tr>
        <w:trPr>
          <w:trHeight w:val="146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D">
            <w:pPr>
              <w:spacing w:line="276" w:lineRule="auto"/>
              <w:rPr/>
            </w:pPr>
            <w:r w:rsidDel="00000000" w:rsidR="00000000" w:rsidRPr="00000000">
              <w:rPr>
                <w:rtl w:val="0"/>
              </w:rPr>
              <w:t xml:space="preserve">contactPointEmail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E">
            <w:pPr>
              <w:spacing w:line="276" w:lineRule="auto"/>
              <w:rPr/>
            </w:pPr>
            <w:r w:rsidDel="00000000" w:rsidR="00000000" w:rsidRPr="00000000">
              <w:rPr>
                <w:rtl w:val="0"/>
              </w:rPr>
              <w:t xml:space="preserve">Електронна пошта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6F">
            <w:pPr>
              <w:spacing w:line="276" w:lineRule="auto"/>
              <w:rPr/>
            </w:pPr>
            <w:r w:rsidDel="00000000" w:rsidR="00000000" w:rsidRPr="00000000">
              <w:rPr>
                <w:rtl w:val="0"/>
              </w:rPr>
              <w:t xml:space="preserve">Адреса електронної пошти контактної особи або приймальні. Наприклад: example@example.com.ua. У випадку кількох адрес розділити значення комою.</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0">
            <w:pPr>
              <w:spacing w:line="276" w:lineRule="auto"/>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1">
            <w:pPr>
              <w:spacing w:line="276" w:lineRule="auto"/>
              <w:rPr/>
            </w:pPr>
            <w:r w:rsidDel="00000000" w:rsidR="00000000" w:rsidRPr="00000000">
              <w:rPr>
                <w:rtl w:val="0"/>
              </w:rPr>
              <w:t xml:space="preserve">Істина (true)</w:t>
            </w:r>
          </w:p>
        </w:tc>
      </w:tr>
      <w:tr>
        <w:trPr>
          <w:trHeight w:val="146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2">
            <w:pPr>
              <w:spacing w:line="276" w:lineRule="auto"/>
              <w:rPr/>
            </w:pPr>
            <w:r w:rsidDel="00000000" w:rsidR="00000000" w:rsidRPr="00000000">
              <w:rPr>
                <w:rtl w:val="0"/>
              </w:rPr>
              <w:t xml:space="preserve">contactPointTelephone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3">
            <w:pPr>
              <w:spacing w:line="276" w:lineRule="auto"/>
              <w:rPr/>
            </w:pPr>
            <w:r w:rsidDel="00000000" w:rsidR="00000000" w:rsidRPr="00000000">
              <w:rPr>
                <w:rtl w:val="0"/>
              </w:rPr>
              <w:t xml:space="preserve">Телефон</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4">
            <w:pPr>
              <w:spacing w:line="276" w:lineRule="auto"/>
              <w:rPr/>
            </w:pPr>
            <w:r w:rsidDel="00000000" w:rsidR="00000000" w:rsidRPr="00000000">
              <w:rPr>
                <w:rtl w:val="0"/>
              </w:rPr>
              <w:t xml:space="preserve">Номер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значення розділити комою.</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5">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6">
            <w:pPr>
              <w:spacing w:line="276" w:lineRule="auto"/>
              <w:rPr/>
            </w:pPr>
            <w:r w:rsidDel="00000000" w:rsidR="00000000" w:rsidRPr="00000000">
              <w:rPr>
                <w:rtl w:val="0"/>
              </w:rPr>
              <w:t xml:space="preserve">Істина (true)</w:t>
            </w:r>
          </w:p>
        </w:tc>
      </w:tr>
      <w:tr>
        <w:trPr>
          <w:trHeight w:val="146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7">
            <w:pPr>
              <w:spacing w:line="276" w:lineRule="auto"/>
              <w:rPr/>
            </w:pPr>
            <w:r w:rsidDel="00000000" w:rsidR="00000000" w:rsidRPr="00000000">
              <w:rPr>
                <w:rtl w:val="0"/>
              </w:rPr>
              <w:t xml:space="preserve">contactPointURL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8">
            <w:pPr>
              <w:spacing w:line="276" w:lineRule="auto"/>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9">
            <w:pPr>
              <w:spacing w:line="276" w:lineRule="auto"/>
              <w:rPr/>
            </w:pPr>
            <w:r w:rsidDel="00000000" w:rsidR="00000000" w:rsidRPr="00000000">
              <w:rPr>
                <w:rtl w:val="0"/>
              </w:rPr>
              <w:t xml:space="preserve">Адреса сторінки контактної особи, підрозділу або приймальні в мережі Інтернет (URL). Адреса має розпочинатися з http:// або https://. Наприклад:  </w:t>
            </w:r>
            <w:hyperlink r:id="rId21">
              <w:r w:rsidDel="00000000" w:rsidR="00000000" w:rsidRPr="00000000">
                <w:rPr>
                  <w:color w:val="1155cc"/>
                  <w:u w:val="single"/>
                  <w:rtl w:val="0"/>
                </w:rPr>
                <w:t xml:space="preserve">https://example.com.ua/example/</w:t>
              </w:r>
            </w:hyperlink>
            <w:r w:rsidDel="00000000" w:rsidR="00000000" w:rsidRPr="00000000">
              <w:rPr>
                <w:rtl w:val="0"/>
              </w:rPr>
              <w:t xml:space="preserv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A">
            <w:pPr>
              <w:rPr/>
            </w:pPr>
            <w:r w:rsidDel="00000000" w:rsidR="00000000" w:rsidRPr="00000000">
              <w:rPr>
                <w:rtl w:val="0"/>
              </w:rPr>
              <w:t xml:space="preserve">Посилання </w:t>
            </w:r>
          </w:p>
          <w:p w:rsidR="00000000" w:rsidDel="00000000" w:rsidP="00000000" w:rsidRDefault="00000000" w:rsidRPr="00000000" w14:paraId="0000007B">
            <w:pPr>
              <w:rPr/>
            </w:pPr>
            <w:r w:rsidDel="00000000" w:rsidR="00000000" w:rsidRPr="00000000">
              <w:rPr>
                <w:rtl w:val="0"/>
              </w:rPr>
              <w:t xml:space="preserve">(anyURI)</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07C">
            <w:pPr>
              <w:spacing w:line="276" w:lineRule="auto"/>
              <w:rPr/>
            </w:pPr>
            <w:r w:rsidDel="00000000" w:rsidR="00000000" w:rsidRPr="00000000">
              <w:rPr>
                <w:rtl w:val="0"/>
              </w:rPr>
              <w:t xml:space="preserve">Істина (true)</w:t>
            </w:r>
          </w:p>
        </w:tc>
      </w:tr>
    </w:tbl>
    <w:p w:rsidR="00000000" w:rsidDel="00000000" w:rsidP="00000000" w:rsidRDefault="00000000" w:rsidRPr="00000000" w14:paraId="0000007D">
      <w:pPr>
        <w:spacing w:after="200" w:line="276" w:lineRule="auto"/>
        <w:rPr/>
      </w:pPr>
      <w:r w:rsidDel="00000000" w:rsidR="00000000" w:rsidRPr="00000000">
        <w:rPr>
          <w:rtl w:val="0"/>
        </w:rPr>
      </w:r>
    </w:p>
    <w:p w:rsidR="00000000" w:rsidDel="00000000" w:rsidP="00000000" w:rsidRDefault="00000000" w:rsidRPr="00000000" w14:paraId="0000007E">
      <w:pPr>
        <w:pStyle w:val="Heading2"/>
        <w:spacing w:after="200" w:line="276" w:lineRule="auto"/>
        <w:rPr/>
      </w:pPr>
      <w:bookmarkStart w:colFirst="0" w:colLast="0" w:name="_oqrqup8shq88" w:id="5"/>
      <w:bookmarkEnd w:id="5"/>
      <w:r w:rsidDel="00000000" w:rsidR="00000000" w:rsidRPr="00000000">
        <w:rPr>
          <w:rtl w:val="0"/>
        </w:rPr>
        <w:t xml:space="preserve">3.2. Перелік майданчиків для паркування (ресурс </w:t>
      </w:r>
      <w:r w:rsidDel="00000000" w:rsidR="00000000" w:rsidRPr="00000000">
        <w:rPr>
          <w:rtl w:val="0"/>
        </w:rPr>
        <w:t xml:space="preserve">ParkingLots</w:t>
      </w:r>
      <w:r w:rsidDel="00000000" w:rsidR="00000000" w:rsidRPr="00000000">
        <w:rPr>
          <w:rtl w:val="0"/>
        </w:rPr>
        <w:t xml:space="preserve">)</w:t>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ParkingLots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Один майданчик для паркування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hyperlink r:id="rId22">
              <w:r w:rsidDel="00000000" w:rsidR="00000000" w:rsidRPr="00000000">
                <w:rPr>
                  <w:color w:val="1155cc"/>
                  <w:u w:val="single"/>
                  <w:rtl w:val="0"/>
                </w:rPr>
                <w:t xml:space="preserve">ParkingLots</w:t>
              </w:r>
            </w:hyperlink>
            <w:hyperlink r:id="rId2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pPr>
            <w:hyperlink r:id="rId24">
              <w:r w:rsidDel="00000000" w:rsidR="00000000" w:rsidRPr="00000000">
                <w:rPr>
                  <w:color w:val="1155cc"/>
                  <w:u w:val="single"/>
                  <w:rtl w:val="0"/>
                </w:rPr>
                <w:t xml:space="preserve">Example</w:t>
              </w:r>
            </w:hyperlink>
            <w:hyperlink r:id="rId2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pPr>
            <w:hyperlink r:id="rId26">
              <w:r w:rsidDel="00000000" w:rsidR="00000000" w:rsidRPr="00000000">
                <w:rPr>
                  <w:color w:val="1155cc"/>
                  <w:u w:val="single"/>
                  <w:rtl w:val="0"/>
                </w:rPr>
                <w:t xml:space="preserve">Structure.xlsx</w:t>
              </w:r>
            </w:hyperlink>
            <w:r w:rsidDel="00000000" w:rsidR="00000000" w:rsidRPr="00000000">
              <w:rPr>
                <w:rtl w:val="0"/>
              </w:rPr>
              <w:t xml:space="preserve">, </w:t>
            </w:r>
            <w:hyperlink r:id="rId27">
              <w:r w:rsidDel="00000000" w:rsidR="00000000" w:rsidRPr="00000000">
                <w:rPr>
                  <w:color w:val="1155cc"/>
                  <w:u w:val="single"/>
                  <w:rtl w:val="0"/>
                </w:rPr>
                <w:t xml:space="preserve">Structure.csv</w:t>
              </w:r>
            </w:hyperlink>
            <w:r w:rsidDel="00000000" w:rsidR="00000000" w:rsidRPr="00000000">
              <w:rPr>
                <w:rtl w:val="0"/>
              </w:rPr>
              <w:t xml:space="preserve">, </w:t>
            </w:r>
            <w:hyperlink r:id="rId2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8F">
      <w:pPr>
        <w:spacing w:line="276" w:lineRule="auto"/>
        <w:jc w:val="both"/>
        <w:rPr/>
      </w:pPr>
      <w:r w:rsidDel="00000000" w:rsidR="00000000" w:rsidRPr="00000000">
        <w:rPr>
          <w:rtl w:val="0"/>
        </w:rPr>
      </w:r>
    </w:p>
    <w:tbl>
      <w:tblPr>
        <w:tblStyle w:val="Table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9">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91">
      <w:pPr>
        <w:spacing w:line="276" w:lineRule="auto"/>
        <w:rPr>
          <w:b w:val="1"/>
        </w:rPr>
      </w:pPr>
      <w:r w:rsidDel="00000000" w:rsidR="00000000" w:rsidRPr="00000000">
        <w:rPr>
          <w:rtl w:val="0"/>
        </w:rPr>
      </w:r>
    </w:p>
    <w:p w:rsidR="00000000" w:rsidDel="00000000" w:rsidP="00000000" w:rsidRDefault="00000000" w:rsidRPr="00000000" w14:paraId="00000092">
      <w:pPr>
        <w:spacing w:after="200" w:line="276" w:lineRule="auto"/>
        <w:jc w:val="center"/>
        <w:rPr>
          <w:b w:val="1"/>
        </w:rPr>
      </w:pPr>
      <w:r w:rsidDel="00000000" w:rsidR="00000000" w:rsidRPr="00000000">
        <w:rPr>
          <w:b w:val="1"/>
          <w:rtl w:val="0"/>
        </w:rPr>
        <w:t xml:space="preserve">Таблиця 2 — Структура таблиці (ресурсу) </w:t>
      </w:r>
      <w:r w:rsidDel="00000000" w:rsidR="00000000" w:rsidRPr="00000000">
        <w:rPr>
          <w:b w:val="1"/>
          <w:rtl w:val="0"/>
        </w:rPr>
        <w:t xml:space="preserve">ParkingLots</w:t>
      </w:r>
      <w:r w:rsidDel="00000000" w:rsidR="00000000" w:rsidRPr="00000000">
        <w:rPr>
          <w:rtl w:val="0"/>
        </w:rPr>
      </w:r>
    </w:p>
    <w:tbl>
      <w:tblPr>
        <w:tblStyle w:val="Table7"/>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Інвентарний номер або інший ідентифікатор майданчика. Наприклад: 100002345.</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Тип</w:t>
            </w:r>
          </w:p>
        </w:tc>
        <w:tc>
          <w:tcPr>
            <w:tcBorders>
              <w:top w:color="cccccc" w:space="0" w:sz="6" w:val="single"/>
              <w:left w:color="cccccc" w:space="0" w:sz="6"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Відповідно до Правил паркування транспортних засобів, затверджених Постановою КМУ від 03.12.2009 № 1342, тип майданчика може мати одне із двох значень: Відведений, Спеціально обладнаний. Наприклад: Відведений.</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Істина (true)</w:t>
            </w:r>
            <w:r w:rsidDel="00000000" w:rsidR="00000000" w:rsidRPr="00000000">
              <w:rPr>
                <w:rtl w:val="0"/>
              </w:rPr>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Поштовий індекс</w:t>
              <w:tab/>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Поштовий індекс адреси майданчика.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Назва країни. У колонці має бути зазначено Україна.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Назва регіону, де розміщений майданчик. Наприклад: Полтавська область.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8">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1">
            <w:pPr>
              <w:widowControl w:val="0"/>
              <w:spacing w:line="276" w:lineRule="auto"/>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Номер об’єкта (будівлі)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5">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6">
            <w:pPr>
              <w:widowControl w:val="0"/>
              <w:spacing w:line="276" w:lineRule="auto"/>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7">
            <w:pPr>
              <w:widowControl w:val="0"/>
              <w:spacing w:line="276" w:lineRule="auto"/>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9">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A">
            <w:pPr>
              <w:widowControl w:val="0"/>
              <w:spacing w:line="276" w:lineRule="auto"/>
              <w:rPr/>
            </w:pPr>
            <w:r w:rsidDel="00000000" w:rsidR="00000000" w:rsidRPr="00000000">
              <w:rPr>
                <w:rtl w:val="0"/>
              </w:rPr>
              <w:t xml:space="preserve">addressDescription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B">
            <w:pPr>
              <w:widowControl w:val="0"/>
              <w:spacing w:line="276" w:lineRule="auto"/>
              <w:rPr/>
            </w:pPr>
            <w:r w:rsidDel="00000000" w:rsidR="00000000" w:rsidRPr="00000000">
              <w:rPr>
                <w:rtl w:val="0"/>
              </w:rPr>
              <w:t xml:space="preserve">Опис розміщення</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C">
            <w:pPr>
              <w:widowControl w:val="0"/>
              <w:spacing w:line="276" w:lineRule="auto"/>
              <w:rPr/>
            </w:pPr>
            <w:r w:rsidDel="00000000" w:rsidR="00000000" w:rsidRPr="00000000">
              <w:rPr>
                <w:rtl w:val="0"/>
              </w:rPr>
              <w:t xml:space="preserve">Опис вказується за потреби, щоб чіткіше визначити розміщення. Наприклад: Непарна сторона вулиці.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E">
            <w:pPr>
              <w:widowControl w:val="0"/>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CF">
            <w:pPr>
              <w:spacing w:line="276" w:lineRule="auto"/>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D0">
            <w:pPr>
              <w:spacing w:line="276" w:lineRule="auto"/>
              <w:rPr/>
            </w:pPr>
            <w:r w:rsidDel="00000000" w:rsidR="00000000" w:rsidRPr="00000000">
              <w:rPr>
                <w:rtl w:val="0"/>
              </w:rPr>
              <w:t xml:space="preserve">Географічна широта</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D1">
            <w:pPr>
              <w:spacing w:line="276" w:lineRule="auto"/>
              <w:rPr/>
            </w:pPr>
            <w:r w:rsidDel="00000000" w:rsidR="00000000" w:rsidRPr="00000000">
              <w:rPr>
                <w:rtl w:val="0"/>
              </w:rPr>
              <w:t xml:space="preserve">Географічна широта центра майданчика. Розділювач десяткових значень — крапка. Наприклад: 50.457718.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2">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3">
            <w:pPr>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D4">
            <w:pPr>
              <w:spacing w:line="276" w:lineRule="auto"/>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D5">
            <w:pPr>
              <w:spacing w:line="276" w:lineRule="auto"/>
              <w:rPr/>
            </w:pPr>
            <w:r w:rsidDel="00000000" w:rsidR="00000000" w:rsidRPr="00000000">
              <w:rPr>
                <w:rtl w:val="0"/>
              </w:rPr>
              <w:t xml:space="preserve">Географічна довгота</w:t>
            </w:r>
          </w:p>
        </w:tc>
        <w:tc>
          <w:tcPr>
            <w:tcBorders>
              <w:top w:color="cccccc" w:space="0" w:sz="8" w:val="single"/>
              <w:left w:color="cccccc" w:space="0" w:sz="8" w:val="single"/>
              <w:bottom w:color="cccccc" w:space="0" w:sz="8" w:val="single"/>
              <w:right w:color="cccccc" w:space="0" w:sz="8" w:val="single"/>
            </w:tcBorders>
            <w:tcMar>
              <w:top w:w="99.36" w:type="dxa"/>
              <w:left w:w="99.36" w:type="dxa"/>
              <w:bottom w:w="99.36" w:type="dxa"/>
              <w:right w:w="99.36" w:type="dxa"/>
            </w:tcMar>
            <w:vAlign w:val="top"/>
          </w:tcPr>
          <w:p w:rsidR="00000000" w:rsidDel="00000000" w:rsidP="00000000" w:rsidRDefault="00000000" w:rsidRPr="00000000" w14:paraId="000000D6">
            <w:pPr>
              <w:spacing w:line="276" w:lineRule="auto"/>
              <w:rPr/>
            </w:pPr>
            <w:r w:rsidDel="00000000" w:rsidR="00000000" w:rsidRPr="00000000">
              <w:rPr>
                <w:rtl w:val="0"/>
              </w:rPr>
              <w:t xml:space="preserve">Географічна довгота центра майданчика. Розділювач десяткових значень — крапка. Наприклад: 30.487021.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7">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8">
            <w:pPr>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9">
            <w:pPr>
              <w:widowControl w:val="0"/>
              <w:spacing w:line="276" w:lineRule="auto"/>
              <w:rPr/>
            </w:pPr>
            <w:r w:rsidDel="00000000" w:rsidR="00000000" w:rsidRPr="00000000">
              <w:rPr>
                <w:rtl w:val="0"/>
              </w:rPr>
              <w:t xml:space="preserve">holderName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Назва балансоутримувача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Повна назва юридичної особи, яка є балансоутримувачем майданчика. Наприклад: Департамент транспортної інфраструктури КМДА.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holderIdentifier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Ідентифікатор балансоутримувача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Код ЄДРПОУ балансоутримувача майданчика, Наприклад: 01411082.</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operatorName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Назва оператора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Повна назва оператора майданчика. Наприклад: КП «Парксервіс».</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operatorIdentifier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Ідентифікатор оператора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Код ЄДРПОУ оператора майданчика, Наприклад: 01411083. У випадку ФОП дані про РНОКПП знеособлюються.</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openingHours</w:t>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Графік роботи</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Дні тижня позначаються комбінаціями літер (Пн, Вт, Ср, Чт, Пт, Сб, Нд), години — цифрами у 24-годинному форматі (ГГ:ХХ). Для графіка з понеділка по п’ятницю, з 9:00 до 17:00 запис в таблиці матиме вигляд — Пн-Пт 09:00-17:00. Коли потрібно позначити інтервал днів (з понеділка по п’ятницю) використовується дефіс, коли окремі дні (понеділок та п’ятниця) — кома. Наприклад, графік роботи в понеділок і п’ятницю з 09:00-17:00 матиме такий вигляд: Пн,Пт 09:00-17:00. Якщо графік змінюється протягом тижня, різні режими роботи необхідно записати через кому. Наприклад: Пн-Чт 08:00-17:20, Пт 08:00-16:00.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lotQuantity</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Кількість місць</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Загальна кількість місць на майданчику. Наприклад: 20.</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Число (integer)</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lotQuantityDisabled</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Кількість місць для людей із інвалідністю</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Кількість місць для людей із інвалідністю. Наприклад: 5.</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Число (integer)</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squareValue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Площа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Площа майданчика у квадратних метрах. Число вказується без зазначення одиниці вимірювання («кв. м.»). Наприклад: 200.00.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price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Вартість паркування</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Вартість паркування з розрахунку на </w:t>
            </w:r>
          </w:p>
          <w:p w:rsidR="00000000" w:rsidDel="00000000" w:rsidP="00000000" w:rsidRDefault="00000000" w:rsidRPr="00000000" w14:paraId="00000104">
            <w:pPr>
              <w:widowControl w:val="0"/>
              <w:spacing w:line="276" w:lineRule="auto"/>
              <w:rPr/>
            </w:pPr>
            <w:r w:rsidDel="00000000" w:rsidR="00000000" w:rsidRPr="00000000">
              <w:rPr>
                <w:rtl w:val="0"/>
              </w:rPr>
              <w:t xml:space="preserve">одне місце за одну годину (з урахуванням податків та зборів). Число вказується без зазначення валюти («грн», «UAH»). Наприклад: 10.00.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Якщо паркування безкоштовне, вказати 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priceDescription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Деталі оплати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Інформація про знижки, нічні тарифи, час безкоштовної стоянки або інші деталі оплати за паркування. Наприклад: Паркування безкоштовне для пільгових категорій населення.</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paymentType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Тип оплати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E">
            <w:pPr>
              <w:widowControl w:val="0"/>
              <w:spacing w:line="276" w:lineRule="auto"/>
              <w:rPr/>
            </w:pPr>
            <w:r w:rsidDel="00000000" w:rsidR="00000000" w:rsidRPr="00000000">
              <w:rPr>
                <w:highlight w:val="white"/>
                <w:rtl w:val="0"/>
              </w:rPr>
              <w:t xml:space="preserve">Тип оплати може мати одне з трьох значень: Готівковий, Безготівковий, Готівковий та безготівковий. Наприклад: Готівковий.</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parkingMeterQuantity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Кількість паркоматів</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Кількість паркоматів на майданчику. Наприклад: 10.</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Число (integer)</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mobileParkingURL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Мобільний паркінг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Адреса сторінки мобільного паркінгу в мережі Інтернет (URL). Адреса має розпочинатися з http:// або https://. Наприклад: https://example.gov.ua/example/.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119">
            <w:pPr>
              <w:spacing w:line="276" w:lineRule="auto"/>
              <w:rPr/>
            </w:pPr>
            <w:r w:rsidDel="00000000" w:rsidR="00000000" w:rsidRPr="00000000">
              <w:rPr>
                <w:rtl w:val="0"/>
              </w:rPr>
              <w:t xml:space="preserve">Посилання </w:t>
            </w:r>
          </w:p>
          <w:p w:rsidR="00000000" w:rsidDel="00000000" w:rsidP="00000000" w:rsidRDefault="00000000" w:rsidRPr="00000000" w14:paraId="0000011A">
            <w:pPr>
              <w:spacing w:line="276" w:lineRule="auto"/>
              <w:rPr/>
            </w:pPr>
            <w:r w:rsidDel="00000000" w:rsidR="00000000" w:rsidRPr="00000000">
              <w:rPr>
                <w:rtl w:val="0"/>
              </w:rPr>
              <w:t xml:space="preserve">(anyURI)</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tcPr>
          <w:p w:rsidR="00000000" w:rsidDel="00000000" w:rsidP="00000000" w:rsidRDefault="00000000" w:rsidRPr="00000000" w14:paraId="0000011B">
            <w:pPr>
              <w:spacing w:line="276" w:lineRule="auto"/>
              <w:rPr/>
            </w:pPr>
            <w:r w:rsidDel="00000000" w:rsidR="00000000" w:rsidRPr="00000000">
              <w:rPr>
                <w:rtl w:val="0"/>
              </w:rPr>
              <w:t xml:space="preserve">Істина (true)</w:t>
            </w:r>
          </w:p>
        </w:tc>
      </w:tr>
    </w:tbl>
    <w:p w:rsidR="00000000" w:rsidDel="00000000" w:rsidP="00000000" w:rsidRDefault="00000000" w:rsidRPr="00000000" w14:paraId="0000011C">
      <w:pPr>
        <w:pStyle w:val="Heading1"/>
        <w:spacing w:line="276" w:lineRule="auto"/>
        <w:rPr/>
      </w:pPr>
      <w:bookmarkStart w:colFirst="0" w:colLast="0" w:name="_ayzcnxf60j46" w:id="6"/>
      <w:bookmarkEnd w:id="6"/>
      <w:r w:rsidDel="00000000" w:rsidR="00000000" w:rsidRPr="00000000">
        <w:rPr>
          <w:rtl w:val="0"/>
        </w:rPr>
        <w:t xml:space="preserve">4. Оформлення паспортів наборів та ресурсів</w:t>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D">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11E">
      <w:pPr>
        <w:spacing w:after="200" w:line="276" w:lineRule="auto"/>
        <w:jc w:val="center"/>
        <w:rPr/>
      </w:pPr>
      <w:r w:rsidDel="00000000" w:rsidR="00000000" w:rsidRPr="00000000">
        <w:rPr>
          <w:rtl w:val="0"/>
        </w:rPr>
      </w:r>
    </w:p>
    <w:p w:rsidR="00000000" w:rsidDel="00000000" w:rsidP="00000000" w:rsidRDefault="00000000" w:rsidRPr="00000000" w14:paraId="0000011F">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12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21">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22">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123">
            <w:pPr>
              <w:widowControl w:val="0"/>
              <w:spacing w:line="276" w:lineRule="auto"/>
              <w:rPr/>
            </w:pPr>
            <w:r w:rsidDel="00000000" w:rsidR="00000000" w:rsidRPr="00000000">
              <w:rPr>
                <w:rtl w:val="0"/>
              </w:rPr>
              <w:t xml:space="preserve">Дані про паркування, у тому числі про розміщення майданчиків, їх операторів, обладнання та функціонування, на території міста Києва</w:t>
            </w:r>
          </w:p>
        </w:tc>
      </w:tr>
      <w:tr>
        <w:trPr>
          <w:trHeight w:val="20" w:hRule="atLeast"/>
        </w:trPr>
        <w:tc>
          <w:tcPr/>
          <w:p w:rsidR="00000000" w:rsidDel="00000000" w:rsidP="00000000" w:rsidRDefault="00000000" w:rsidRPr="00000000" w14:paraId="00000124">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125">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126">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127">
            <w:pPr>
              <w:widowControl w:val="0"/>
              <w:spacing w:line="276" w:lineRule="auto"/>
              <w:rPr/>
            </w:pPr>
            <w:r w:rsidDel="00000000" w:rsidR="00000000" w:rsidRPr="00000000">
              <w:rPr>
                <w:rtl w:val="0"/>
              </w:rPr>
              <w:t xml:space="preserve">Щомісяця</w:t>
            </w:r>
            <w:r w:rsidDel="00000000" w:rsidR="00000000" w:rsidRPr="00000000">
              <w:rPr>
                <w:rtl w:val="0"/>
              </w:rPr>
            </w:r>
          </w:p>
        </w:tc>
      </w:tr>
      <w:tr>
        <w:tc>
          <w:tcPr/>
          <w:p w:rsidR="00000000" w:rsidDel="00000000" w:rsidP="00000000" w:rsidRDefault="00000000" w:rsidRPr="00000000" w14:paraId="00000128">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129">
            <w:pPr>
              <w:widowControl w:val="0"/>
              <w:spacing w:line="276" w:lineRule="auto"/>
              <w:rPr/>
            </w:pPr>
            <w:r w:rsidDel="00000000" w:rsidR="00000000" w:rsidRPr="00000000">
              <w:rPr>
                <w:rtl w:val="0"/>
              </w:rPr>
              <w:t xml:space="preserve">Набір містить два ресурси Operators та </w:t>
            </w:r>
            <w:r w:rsidDel="00000000" w:rsidR="00000000" w:rsidRPr="00000000">
              <w:rPr>
                <w:rtl w:val="0"/>
              </w:rPr>
              <w:t xml:space="preserve">ParkingLots</w:t>
            </w:r>
            <w:r w:rsidDel="00000000" w:rsidR="00000000" w:rsidRPr="00000000">
              <w:rPr>
                <w:rtl w:val="0"/>
              </w:rPr>
              <w:t xml:space="preserve">.</w:t>
            </w:r>
          </w:p>
          <w:p w:rsidR="00000000" w:rsidDel="00000000" w:rsidP="00000000" w:rsidRDefault="00000000" w:rsidRPr="00000000" w14:paraId="0000012A">
            <w:pPr>
              <w:widowControl w:val="0"/>
              <w:spacing w:line="276" w:lineRule="auto"/>
              <w:rPr/>
            </w:pPr>
            <w:r w:rsidDel="00000000" w:rsidR="00000000" w:rsidRPr="00000000">
              <w:rPr>
                <w:rtl w:val="0"/>
              </w:rPr>
              <w:t xml:space="preserve">Operators — довідник операторів майданчиків для паркування. </w:t>
            </w:r>
            <w:r w:rsidDel="00000000" w:rsidR="00000000" w:rsidRPr="00000000">
              <w:rPr>
                <w:rtl w:val="0"/>
              </w:rPr>
              <w:t xml:space="preserve">ParkingLots</w:t>
            </w:r>
            <w:r w:rsidDel="00000000" w:rsidR="00000000" w:rsidRPr="00000000">
              <w:rPr>
                <w:rtl w:val="0"/>
              </w:rPr>
              <w:t xml:space="preserve"> — перелік майданчиків для паркування території міста Києва.</w:t>
            </w:r>
          </w:p>
        </w:tc>
      </w:tr>
      <w:tr>
        <w:trPr>
          <w:trHeight w:val="180" w:hRule="atLeast"/>
        </w:trPr>
        <w:tc>
          <w:tcPr/>
          <w:p w:rsidR="00000000" w:rsidDel="00000000" w:rsidP="00000000" w:rsidRDefault="00000000" w:rsidRPr="00000000" w14:paraId="0000012B">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12C">
            <w:pPr>
              <w:widowControl w:val="0"/>
              <w:spacing w:line="276" w:lineRule="auto"/>
              <w:rPr/>
            </w:pPr>
            <w:r w:rsidDel="00000000" w:rsidR="00000000" w:rsidRPr="00000000">
              <w:rPr>
                <w:rtl w:val="0"/>
              </w:rPr>
              <w:t xml:space="preserve">Закон України «Про місцеве самоврядування в Україні» від 21.05.1997 № 280/97-ВР, Постанова КМУ від 03.12.2009 № 1342, Постанова КМУ  від 02.03.2010 № 258</w:t>
            </w:r>
            <w:r w:rsidDel="00000000" w:rsidR="00000000" w:rsidRPr="00000000">
              <w:rPr>
                <w:rtl w:val="0"/>
              </w:rPr>
            </w:r>
          </w:p>
        </w:tc>
      </w:tr>
      <w:tr>
        <w:trPr>
          <w:trHeight w:val="120" w:hRule="atLeast"/>
        </w:trPr>
        <w:tc>
          <w:tcPr/>
          <w:p w:rsidR="00000000" w:rsidDel="00000000" w:rsidP="00000000" w:rsidRDefault="00000000" w:rsidRPr="00000000" w14:paraId="0000012D">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12E">
            <w:pPr>
              <w:widowControl w:val="0"/>
              <w:spacing w:line="276" w:lineRule="auto"/>
              <w:rPr/>
            </w:pPr>
            <w:r w:rsidDel="00000000" w:rsidR="00000000" w:rsidRPr="00000000">
              <w:rPr>
                <w:rtl w:val="0"/>
              </w:rPr>
              <w:t xml:space="preserve">паркування, паркінг, оплата, майданчик для паркування, паркомат, мобільний паркінг, тариф, транспорт, оператор, графік роботи, паркомісце</w:t>
            </w:r>
          </w:p>
        </w:tc>
      </w:tr>
      <w:tr>
        <w:trPr>
          <w:trHeight w:val="460" w:hRule="atLeast"/>
        </w:trPr>
        <w:tc>
          <w:tcPr/>
          <w:p w:rsidR="00000000" w:rsidDel="00000000" w:rsidP="00000000" w:rsidRDefault="00000000" w:rsidRPr="00000000" w14:paraId="0000012F">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130">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31">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132">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133">
      <w:pPr>
        <w:spacing w:after="200" w:line="276" w:lineRule="auto"/>
        <w:jc w:val="center"/>
        <w:rPr/>
      </w:pPr>
      <w:r w:rsidDel="00000000" w:rsidR="00000000" w:rsidRPr="00000000">
        <w:rPr>
          <w:rtl w:val="0"/>
        </w:rPr>
      </w:r>
    </w:p>
    <w:p w:rsidR="00000000" w:rsidDel="00000000" w:rsidP="00000000" w:rsidRDefault="00000000" w:rsidRPr="00000000" w14:paraId="00000134">
      <w:pPr>
        <w:spacing w:after="200" w:line="276" w:lineRule="auto"/>
        <w:jc w:val="center"/>
        <w:rPr>
          <w:b w:val="1"/>
        </w:rPr>
      </w:pPr>
      <w:r w:rsidDel="00000000" w:rsidR="00000000" w:rsidRPr="00000000">
        <w:rPr>
          <w:b w:val="1"/>
          <w:rtl w:val="0"/>
        </w:rPr>
        <w:t xml:space="preserve">Таблиця 4 — Приклад паспорта ресурсу Operators </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35">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36">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37">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38">
            <w:pPr>
              <w:spacing w:line="276" w:lineRule="auto"/>
              <w:rPr/>
            </w:pPr>
            <w:r w:rsidDel="00000000" w:rsidR="00000000" w:rsidRPr="00000000">
              <w:rPr>
                <w:rtl w:val="0"/>
              </w:rPr>
              <w:t xml:space="preserve">Operators.xlsx</w:t>
            </w:r>
          </w:p>
        </w:tc>
      </w:tr>
      <w:tr>
        <w:tc>
          <w:tcPr/>
          <w:p w:rsidR="00000000" w:rsidDel="00000000" w:rsidP="00000000" w:rsidRDefault="00000000" w:rsidRPr="00000000" w14:paraId="00000139">
            <w:pPr>
              <w:spacing w:line="276" w:lineRule="auto"/>
              <w:rPr/>
            </w:pPr>
            <w:r w:rsidDel="00000000" w:rsidR="00000000" w:rsidRPr="00000000">
              <w:rPr>
                <w:rtl w:val="0"/>
              </w:rPr>
              <w:t xml:space="preserve">Опис</w:t>
            </w:r>
          </w:p>
        </w:tc>
        <w:tc>
          <w:tcPr/>
          <w:p w:rsidR="00000000" w:rsidDel="00000000" w:rsidP="00000000" w:rsidRDefault="00000000" w:rsidRPr="00000000" w14:paraId="0000013A">
            <w:pPr>
              <w:widowControl w:val="0"/>
              <w:spacing w:line="276" w:lineRule="auto"/>
              <w:rPr/>
            </w:pPr>
            <w:r w:rsidDel="00000000" w:rsidR="00000000" w:rsidRPr="00000000">
              <w:rPr>
                <w:rtl w:val="0"/>
              </w:rPr>
              <w:t xml:space="preserve">Таблиця містить ідентифікаційні (назва, код ЄДРПОУ) та контактні дані (адреса розміщення, адреса електронної пошти, телефон) операторів майданчиків для паркування. Кожним записом в таблиці є один оператор.</w:t>
            </w:r>
          </w:p>
        </w:tc>
      </w:tr>
      <w:tr>
        <w:trPr>
          <w:trHeight w:val="160" w:hRule="atLeast"/>
        </w:trPr>
        <w:tc>
          <w:tcPr/>
          <w:p w:rsidR="00000000" w:rsidDel="00000000" w:rsidP="00000000" w:rsidRDefault="00000000" w:rsidRPr="00000000" w14:paraId="0000013B">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3C">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3D">
      <w:pPr>
        <w:spacing w:after="200" w:line="276" w:lineRule="auto"/>
        <w:jc w:val="center"/>
        <w:rPr>
          <w:b w:val="1"/>
        </w:rPr>
      </w:pPr>
      <w:r w:rsidDel="00000000" w:rsidR="00000000" w:rsidRPr="00000000">
        <w:rPr>
          <w:rtl w:val="0"/>
        </w:rPr>
      </w:r>
    </w:p>
    <w:p w:rsidR="00000000" w:rsidDel="00000000" w:rsidP="00000000" w:rsidRDefault="00000000" w:rsidRPr="00000000" w14:paraId="0000013E">
      <w:pPr>
        <w:spacing w:after="200" w:line="276" w:lineRule="auto"/>
        <w:jc w:val="center"/>
        <w:rPr>
          <w:b w:val="1"/>
        </w:rPr>
      </w:pPr>
      <w:r w:rsidDel="00000000" w:rsidR="00000000" w:rsidRPr="00000000">
        <w:rPr>
          <w:b w:val="1"/>
          <w:rtl w:val="0"/>
        </w:rPr>
        <w:t xml:space="preserve">Таблиця 5 — Приклад паспорта ресурсу </w:t>
      </w:r>
      <w:r w:rsidDel="00000000" w:rsidR="00000000" w:rsidRPr="00000000">
        <w:rPr>
          <w:b w:val="1"/>
          <w:rtl w:val="0"/>
        </w:rPr>
        <w:t xml:space="preserve">ParkingLots</w:t>
      </w:r>
      <w:r w:rsidDel="00000000" w:rsidR="00000000" w:rsidRPr="00000000">
        <w:rPr>
          <w:b w:val="1"/>
          <w:rtl w:val="0"/>
        </w:rPr>
        <w:t xml:space="preserve"> </w:t>
      </w:r>
    </w:p>
    <w:tbl>
      <w:tblPr>
        <w:tblStyle w:val="Table11"/>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3F">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40">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41">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42">
            <w:pPr>
              <w:spacing w:line="276" w:lineRule="auto"/>
              <w:rPr/>
            </w:pPr>
            <w:r w:rsidDel="00000000" w:rsidR="00000000" w:rsidRPr="00000000">
              <w:rPr>
                <w:rtl w:val="0"/>
              </w:rPr>
              <w:t xml:space="preserve">ParkingLots</w:t>
            </w:r>
            <w:r w:rsidDel="00000000" w:rsidR="00000000" w:rsidRPr="00000000">
              <w:rPr>
                <w:rtl w:val="0"/>
              </w:rPr>
              <w:t xml:space="preserve">.xlsx</w:t>
            </w:r>
            <w:r w:rsidDel="00000000" w:rsidR="00000000" w:rsidRPr="00000000">
              <w:rPr>
                <w:rtl w:val="0"/>
              </w:rPr>
            </w:r>
          </w:p>
        </w:tc>
      </w:tr>
      <w:tr>
        <w:tc>
          <w:tcPr/>
          <w:p w:rsidR="00000000" w:rsidDel="00000000" w:rsidP="00000000" w:rsidRDefault="00000000" w:rsidRPr="00000000" w14:paraId="00000143">
            <w:pPr>
              <w:spacing w:line="276" w:lineRule="auto"/>
              <w:rPr/>
            </w:pPr>
            <w:r w:rsidDel="00000000" w:rsidR="00000000" w:rsidRPr="00000000">
              <w:rPr>
                <w:rtl w:val="0"/>
              </w:rPr>
              <w:t xml:space="preserve">Опис</w:t>
            </w:r>
          </w:p>
        </w:tc>
        <w:tc>
          <w:tcPr/>
          <w:p w:rsidR="00000000" w:rsidDel="00000000" w:rsidP="00000000" w:rsidRDefault="00000000" w:rsidRPr="00000000" w14:paraId="00000144">
            <w:pPr>
              <w:widowControl w:val="0"/>
              <w:spacing w:line="276" w:lineRule="auto"/>
              <w:rPr/>
            </w:pPr>
            <w:r w:rsidDel="00000000" w:rsidR="00000000" w:rsidRPr="00000000">
              <w:rPr>
                <w:rtl w:val="0"/>
              </w:rPr>
              <w:t xml:space="preserve">Таблиця містить інвентарні номери, адреси, типи майданчиків для паркування, а також інформацію про їх балансоутримувачів, операторів, площу, кількість місць, вартість паркування, спосіб оплати та інше. Кожним записом до таблиці є один майданчик.</w:t>
            </w:r>
          </w:p>
        </w:tc>
      </w:tr>
      <w:tr>
        <w:trPr>
          <w:trHeight w:val="160" w:hRule="atLeast"/>
        </w:trPr>
        <w:tc>
          <w:tcPr/>
          <w:p w:rsidR="00000000" w:rsidDel="00000000" w:rsidP="00000000" w:rsidRDefault="00000000" w:rsidRPr="00000000" w14:paraId="00000145">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46">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47">
      <w:pPr>
        <w:pStyle w:val="Heading2"/>
        <w:spacing w:line="276" w:lineRule="auto"/>
        <w:rPr/>
      </w:pPr>
      <w:bookmarkStart w:colFirst="0" w:colLast="0" w:name="_2cvkhysjvtmt" w:id="7"/>
      <w:bookmarkEnd w:id="7"/>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ckan.org/en/latest/maintaining/datastore.html" TargetMode="External"/><Relationship Id="rId22" Type="http://schemas.openxmlformats.org/officeDocument/2006/relationships/hyperlink" Target="https://github.com/tapas-opendata/decreet-835-mun/raw/master/infrastructure/parking/lots/ParkingLots.xlsx" TargetMode="External"/><Relationship Id="rId21" Type="http://schemas.openxmlformats.org/officeDocument/2006/relationships/hyperlink" Target="https://example.gov.ua/example/" TargetMode="External"/><Relationship Id="rId24" Type="http://schemas.openxmlformats.org/officeDocument/2006/relationships/hyperlink" Target="https://github.com/tapas-opendata/decreet-835-mun/raw/master/infrastructure/parking/lots/Example.xlsx" TargetMode="External"/><Relationship Id="rId23" Type="http://schemas.openxmlformats.org/officeDocument/2006/relationships/hyperlink" Target="https://github.com/tapas-opendata/decreet-835-mun/raw/master/infrastructure/parking/lots/ParkingLots.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80/97-%D0%B2%D1%80" TargetMode="External"/><Relationship Id="rId26" Type="http://schemas.openxmlformats.org/officeDocument/2006/relationships/hyperlink" Target="https://github.com/tapas-opendata/decreet-835-mun/raw/master/infrastructure/parking/lots/Structure.xlsx" TargetMode="External"/><Relationship Id="rId25" Type="http://schemas.openxmlformats.org/officeDocument/2006/relationships/hyperlink" Target="https://github.com/tapas-opendata/decreet-835-mun/raw/master/infrastructure/parking/lots/Example.xlsx" TargetMode="External"/><Relationship Id="rId28" Type="http://schemas.openxmlformats.org/officeDocument/2006/relationships/hyperlink" Target="https://raw.githubusercontent.com/tapas-opendata/decreet-835-mun/master/infrastructure/parking/lots/Structure.json" TargetMode="External"/><Relationship Id="rId27" Type="http://schemas.openxmlformats.org/officeDocument/2006/relationships/hyperlink" Target="https://raw.githubusercontent.com/tapas-opendata/decreet-835-mun/master/infrastructure/parking/lots/Structure.csv"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29" Type="http://schemas.openxmlformats.org/officeDocument/2006/relationships/hyperlink" Target="https://docs.ckan.org/en/latest/maintaining/datastore.html" TargetMode="External"/><Relationship Id="rId7" Type="http://schemas.openxmlformats.org/officeDocument/2006/relationships/hyperlink" Target="https://zakon.rada.gov.ua/laws/show/1342-2009-%D0%BF" TargetMode="External"/><Relationship Id="rId8" Type="http://schemas.openxmlformats.org/officeDocument/2006/relationships/hyperlink" Target="https://zakon.rada.gov.ua/laws/show/258-2010-%D0%BF" TargetMode="External"/><Relationship Id="rId11" Type="http://schemas.openxmlformats.org/officeDocument/2006/relationships/hyperlink" Target="https://zakon.rada.gov.ua/laws/show/258-2010-%D0%BF" TargetMode="External"/><Relationship Id="rId10" Type="http://schemas.openxmlformats.org/officeDocument/2006/relationships/hyperlink" Target="https://zakon.rada.gov.ua/laws/show/1342-2009-%D0%BF" TargetMode="External"/><Relationship Id="rId13" Type="http://schemas.openxmlformats.org/officeDocument/2006/relationships/hyperlink" Target="https://dniprorada.gov.ua/uk/Widgets/GetWidgetContent?url=/WebSolution2/wsGetTextPublicDocument?pID=166522&amp;name=38/17" TargetMode="External"/><Relationship Id="rId12" Type="http://schemas.openxmlformats.org/officeDocument/2006/relationships/hyperlink" Target="https://www8.city-adm.lviv.ua/inteam/uhvaly.nsf/(SearchForWeb)/BE480416D097BFF0C2257982002CB0CA?OpenDocument" TargetMode="External"/><Relationship Id="rId15" Type="http://schemas.openxmlformats.org/officeDocument/2006/relationships/hyperlink" Target="https://github.com/tapas-opendata/decreet-835-mun/raw/master/infrastructure/parking/operators/Example.xlsx" TargetMode="External"/><Relationship Id="rId14" Type="http://schemas.openxmlformats.org/officeDocument/2006/relationships/hyperlink" Target="https://github.com/tapas-opendata/decreet-835-mun/raw/master/infrastructure/parking/operators/Operators.xlsx" TargetMode="External"/><Relationship Id="rId17" Type="http://schemas.openxmlformats.org/officeDocument/2006/relationships/hyperlink" Target="https://github.com/tapas-opendata/decreet-835-mun/raw/master/infrastructure/parking/operators/Structure.xlsx" TargetMode="External"/><Relationship Id="rId16" Type="http://schemas.openxmlformats.org/officeDocument/2006/relationships/hyperlink" Target="https://github.com/tapas-opendata/decreet-835-mun/raw/master/infrastructure/parking/operators/Example.xlsx" TargetMode="External"/><Relationship Id="rId19" Type="http://schemas.openxmlformats.org/officeDocument/2006/relationships/hyperlink" Target="https://raw.githubusercontent.com/tapas-opendata/decreet-835-mun/master/infrastructure/parking/operators/Structure.json" TargetMode="External"/><Relationship Id="rId18" Type="http://schemas.openxmlformats.org/officeDocument/2006/relationships/hyperlink" Target="https://raw.githubusercontent.com/tapas-opendata/decreet-835-mun/master/infrastructure/parking/operators/Structur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