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fqr9lc8u39wo" w:id="0"/>
      <w:bookmarkEnd w:id="0"/>
      <w:r w:rsidDel="00000000" w:rsidR="00000000" w:rsidRPr="00000000">
        <w:rPr>
          <w:rtl w:val="0"/>
        </w:rPr>
        <w:t xml:space="preserve">Дані про споживання комунальних ресурсів (електроенергія, теплова енергія, природний газ, тверде паливо, холодна та гаряча вода) комунальними підприємствами, установами (закладами) та організаціями</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7">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8">
              <w:r w:rsidDel="00000000" w:rsidR="00000000" w:rsidRPr="00000000">
                <w:rPr>
                  <w:color w:val="1155cc"/>
                  <w:u w:val="single"/>
                  <w:rtl w:val="0"/>
                </w:rPr>
                <w:t xml:space="preserve">Закон України «Про енергетичну ефективність будівель» від 22.06.2017 № 2118-VIII</w:t>
              </w:r>
            </w:hyperlink>
            <w:r w:rsidDel="00000000" w:rsidR="00000000" w:rsidRPr="00000000">
              <w:rPr>
                <w:rtl w:val="0"/>
              </w:rPr>
              <w:t xml:space="preserve">, </w:t>
            </w:r>
            <w:hyperlink r:id="rId9">
              <w:r w:rsidDel="00000000" w:rsidR="00000000" w:rsidRPr="00000000">
                <w:rPr>
                  <w:color w:val="1155cc"/>
                  <w:u w:val="single"/>
                  <w:rtl w:val="0"/>
                </w:rPr>
                <w:t xml:space="preserve">Закон України «Про енергозбереження» від 01.07.1994 № 74/94-ВР</w:t>
              </w:r>
            </w:hyperlink>
            <w:r w:rsidDel="00000000" w:rsidR="00000000" w:rsidRPr="00000000">
              <w:rPr>
                <w:rtl w:val="0"/>
              </w:rPr>
              <w:t xml:space="preserve">, нормативно-правові акти органів місцевого самоврядування.</w:t>
            </w:r>
          </w:p>
          <w:p w:rsidR="00000000" w:rsidDel="00000000" w:rsidP="00000000" w:rsidRDefault="00000000" w:rsidRPr="00000000" w14:paraId="00000007">
            <w:pPr>
              <w:spacing w:line="276" w:lineRule="auto"/>
              <w:rPr/>
            </w:pPr>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Відомості про споживання комунальних послуг фіксуються в програмному забезпеченні для енергомоніторингу. Також показники можуть систематизуватися у журналах/таблицях з метою обліку.</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Зн</w:t>
            </w:r>
            <w:r w:rsidDel="00000000" w:rsidR="00000000" w:rsidRPr="00000000">
              <w:rPr>
                <w:rtl w:val="0"/>
              </w:rPr>
              <w:t xml:space="preserve">яття показників лічильників, актуалізація даних.</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Щодня, щотижня, щомісяця або рідше (залежно від прийнятої частоти енергомоніторингу)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pPr>
            <w:r w:rsidDel="00000000" w:rsidR="00000000" w:rsidRPr="00000000">
              <w:rPr>
                <w:rtl w:val="0"/>
              </w:rPr>
              <w:t xml:space="preserve">JSON, XML, CSV, XLSX, ODS, можливі інші формати структурованих даних</w:t>
            </w:r>
          </w:p>
        </w:tc>
      </w:tr>
    </w:tbl>
    <w:p w:rsidR="00000000" w:rsidDel="00000000" w:rsidP="00000000" w:rsidRDefault="00000000" w:rsidRPr="00000000" w14:paraId="00000012">
      <w:pPr>
        <w:pStyle w:val="Heading1"/>
        <w:spacing w:line="276" w:lineRule="auto"/>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3">
      <w:pPr>
        <w:spacing w:after="200" w:before="0" w:line="276" w:lineRule="auto"/>
        <w:rPr/>
      </w:pPr>
      <w:r w:rsidDel="00000000" w:rsidR="00000000" w:rsidRPr="00000000">
        <w:rPr>
          <w:rtl w:val="0"/>
        </w:rPr>
        <w:t xml:space="preserve">Відповідно до </w:t>
      </w:r>
      <w:hyperlink r:id="rId10">
        <w:r w:rsidDel="00000000" w:rsidR="00000000" w:rsidRPr="00000000">
          <w:rPr>
            <w:color w:val="1155cc"/>
            <w:u w:val="single"/>
            <w:rtl w:val="0"/>
          </w:rPr>
          <w:t xml:space="preserve">Закону України «Про місцеве самоврядування в Україні»</w:t>
        </w:r>
      </w:hyperlink>
      <w:r w:rsidDel="00000000" w:rsidR="00000000" w:rsidRPr="00000000">
        <w:rPr>
          <w:rtl w:val="0"/>
        </w:rPr>
        <w:t xml:space="preserve"> органи місцевого самоврядування здійснюють управління закладами освіти, охорони здоров'я, культури, фізкультури і спорту, об’єктами житлово-комунального господарства, побутового, торговельного обслуговування, транспорту і зв'язку, які належать територіальним громадам або передані їм. До їх повноважень також належить встановлення нормативів (норм) споживання комунальних послуг (стаття 30).</w:t>
      </w:r>
    </w:p>
    <w:p w:rsidR="00000000" w:rsidDel="00000000" w:rsidP="00000000" w:rsidRDefault="00000000" w:rsidRPr="00000000" w14:paraId="00000014">
      <w:pPr>
        <w:spacing w:after="200" w:before="0" w:line="276" w:lineRule="auto"/>
        <w:rPr/>
      </w:pPr>
      <w:hyperlink r:id="rId11">
        <w:r w:rsidDel="00000000" w:rsidR="00000000" w:rsidRPr="00000000">
          <w:rPr>
            <w:color w:val="1155cc"/>
            <w:u w:val="single"/>
            <w:rtl w:val="0"/>
          </w:rPr>
          <w:t xml:space="preserve">Закон України «Про енергетичну ефективність будівель»</w:t>
        </w:r>
      </w:hyperlink>
      <w:r w:rsidDel="00000000" w:rsidR="00000000" w:rsidRPr="00000000">
        <w:rPr>
          <w:rtl w:val="0"/>
        </w:rPr>
        <w:t xml:space="preserve"> передбачає впровадження автоматизованих систем моніторингу й управління інженерними системами задля </w:t>
      </w:r>
      <w:r w:rsidDel="00000000" w:rsidR="00000000" w:rsidRPr="00000000">
        <w:rPr>
          <w:rtl w:val="0"/>
        </w:rPr>
        <w:t xml:space="preserve">підвищення рівня енергетичної ефективності будівель. В Україні затверджений ДСТУ ISO 50001:2014 «Енергозбереження. Системи енергетичного менеджменту. Вимоги та настанова щодо використання (ISO 50001:2011, IDT)».</w:t>
      </w:r>
    </w:p>
    <w:p w:rsidR="00000000" w:rsidDel="00000000" w:rsidP="00000000" w:rsidRDefault="00000000" w:rsidRPr="00000000" w14:paraId="00000015">
      <w:pPr>
        <w:spacing w:after="200" w:before="0" w:line="276" w:lineRule="auto"/>
        <w:rPr/>
      </w:pPr>
      <w:r w:rsidDel="00000000" w:rsidR="00000000" w:rsidRPr="00000000">
        <w:rPr>
          <w:rtl w:val="0"/>
        </w:rPr>
        <w:t xml:space="preserve">Органи місцевого самоврядування можуть затверджувати власну нормативну базу для здійснення енергомоніторингу й енергоменеджменту, наприклад, </w:t>
      </w:r>
      <w:hyperlink r:id="rId12">
        <w:r w:rsidDel="00000000" w:rsidR="00000000" w:rsidRPr="00000000">
          <w:rPr>
            <w:color w:val="1155cc"/>
            <w:u w:val="single"/>
            <w:rtl w:val="0"/>
          </w:rPr>
          <w:t xml:space="preserve">Рішення Виконавчого комітету Миколаївської міської ради від № 997 24 листопада 2017</w:t>
        </w:r>
      </w:hyperlink>
      <w:r w:rsidDel="00000000" w:rsidR="00000000" w:rsidRPr="00000000">
        <w:rPr>
          <w:rtl w:val="0"/>
        </w:rPr>
        <w:t xml:space="preserve">, </w:t>
      </w:r>
      <w:hyperlink r:id="rId13">
        <w:r w:rsidDel="00000000" w:rsidR="00000000" w:rsidRPr="00000000">
          <w:rPr>
            <w:color w:val="1155cc"/>
            <w:u w:val="single"/>
            <w:rtl w:val="0"/>
          </w:rPr>
          <w:t xml:space="preserve">Рішення Виконавчого комітету Білоцерківської міської ради від № 309 від 12 вересня  2017 року</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pStyle w:val="Heading1"/>
        <w:spacing w:after="200" w:lineRule="auto"/>
        <w:rPr/>
      </w:pPr>
      <w:bookmarkStart w:colFirst="0" w:colLast="0" w:name="_zgwb4rbyde1v"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7">
      <w:pPr>
        <w:pStyle w:val="Heading2"/>
        <w:spacing w:after="200" w:lineRule="auto"/>
        <w:rPr/>
      </w:pPr>
      <w:bookmarkStart w:colFirst="0" w:colLast="0" w:name="_tfjorv44b7nx" w:id="4"/>
      <w:bookmarkEnd w:id="4"/>
      <w:r w:rsidDel="00000000" w:rsidR="00000000" w:rsidRPr="00000000">
        <w:rPr>
          <w:rtl w:val="0"/>
        </w:rPr>
        <w:t xml:space="preserve">3.1. Оприлюднення даних систем енергомоніторингу</w:t>
      </w:r>
    </w:p>
    <w:p w:rsidR="00000000" w:rsidDel="00000000" w:rsidP="00000000" w:rsidRDefault="00000000" w:rsidRPr="00000000" w14:paraId="00000018">
      <w:pPr>
        <w:spacing w:after="200" w:lineRule="auto"/>
        <w:rPr/>
      </w:pPr>
      <w:r w:rsidDel="00000000" w:rsidR="00000000" w:rsidRPr="00000000">
        <w:rPr>
          <w:rtl w:val="0"/>
        </w:rPr>
        <w:t xml:space="preserve">На ринку існує низка рішень програмного забезпечення для здійснення енергомоніторингу: </w:t>
      </w:r>
      <w:hyperlink r:id="rId14">
        <w:r w:rsidDel="00000000" w:rsidR="00000000" w:rsidRPr="00000000">
          <w:rPr>
            <w:color w:val="1155cc"/>
            <w:u w:val="single"/>
            <w:rtl w:val="0"/>
          </w:rPr>
          <w:t xml:space="preserve">Інформаційна система енергомоніторингу</w:t>
        </w:r>
      </w:hyperlink>
      <w:r w:rsidDel="00000000" w:rsidR="00000000" w:rsidRPr="00000000">
        <w:rPr>
          <w:rtl w:val="0"/>
        </w:rPr>
        <w:t xml:space="preserve">, </w:t>
      </w:r>
      <w:hyperlink r:id="rId15">
        <w:r w:rsidDel="00000000" w:rsidR="00000000" w:rsidRPr="00000000">
          <w:rPr>
            <w:color w:val="1155cc"/>
            <w:u w:val="single"/>
            <w:rtl w:val="0"/>
          </w:rPr>
          <w:t xml:space="preserve">uMuni</w:t>
        </w:r>
      </w:hyperlink>
      <w:r w:rsidDel="00000000" w:rsidR="00000000" w:rsidRPr="00000000">
        <w:rPr>
          <w:rtl w:val="0"/>
        </w:rPr>
        <w:t xml:space="preserve">, </w:t>
      </w:r>
      <w:hyperlink r:id="rId16">
        <w:r w:rsidDel="00000000" w:rsidR="00000000" w:rsidRPr="00000000">
          <w:rPr>
            <w:color w:val="1155cc"/>
            <w:u w:val="single"/>
            <w:rtl w:val="0"/>
          </w:rPr>
          <w:t xml:space="preserve">Енергоплан</w:t>
        </w:r>
      </w:hyperlink>
      <w:r w:rsidDel="00000000" w:rsidR="00000000" w:rsidRPr="00000000">
        <w:rPr>
          <w:rtl w:val="0"/>
        </w:rPr>
        <w:t xml:space="preserve">. Дані з цих та аналогічних систем необхідно оприлюднювати шляхом експорту у відкритих машиночитаних форматах (CSV, JSON, XML) або через відкритий інтерфейс прикладного програмування (server-side web API). Вимоги щодо можливості експорту або наявності відкритого API мають бути включені у специфікації, технічні завдання та інші документи, які використовуються під час впровадження електронних сервісів.</w:t>
      </w:r>
    </w:p>
    <w:p w:rsidR="00000000" w:rsidDel="00000000" w:rsidP="00000000" w:rsidRDefault="00000000" w:rsidRPr="00000000" w14:paraId="00000019">
      <w:pPr>
        <w:spacing w:after="200" w:lineRule="auto"/>
        <w:rPr/>
      </w:pPr>
      <w:r w:rsidDel="00000000" w:rsidR="00000000" w:rsidRPr="00000000">
        <w:rPr>
          <w:rtl w:val="0"/>
        </w:rPr>
        <w:t xml:space="preserve">Набір має включати відомості щодо кожного зняття показників лічильника, а також довідники організацій, будівель, що підключені до системи. Дані можуть бути представленими у форматі ієрархічних файлів (JSON, XML) або плоских таблиць (CSV, XLS, XLSX, ODS). Для забезпечення повноти даних, необхідно включити в структуру набору всі атрибути (поля), передбачені Таблицею 1.</w:t>
      </w:r>
    </w:p>
    <w:p w:rsidR="00000000" w:rsidDel="00000000" w:rsidP="00000000" w:rsidRDefault="00000000" w:rsidRPr="00000000" w14:paraId="0000001A">
      <w:pPr>
        <w:spacing w:after="200" w:lineRule="auto"/>
        <w:rPr/>
      </w:pPr>
      <w:r w:rsidDel="00000000" w:rsidR="00000000" w:rsidRPr="00000000">
        <w:rPr>
          <w:rtl w:val="0"/>
        </w:rPr>
        <w:t xml:space="preserve">Не рекомендованим є оприлюднення агрегованих (зведених) даних (наприклад, сумарних показників споживання ресурсів всіма закладами), графічних звітів, що включають діаграми споживання та інші типи візуалізацій.</w:t>
      </w:r>
    </w:p>
    <w:p w:rsidR="00000000" w:rsidDel="00000000" w:rsidP="00000000" w:rsidRDefault="00000000" w:rsidRPr="00000000" w14:paraId="0000001B">
      <w:pPr>
        <w:pStyle w:val="Heading2"/>
        <w:spacing w:after="200" w:lineRule="auto"/>
        <w:rPr/>
      </w:pPr>
      <w:bookmarkStart w:colFirst="0" w:colLast="0" w:name="_cfer59huj7l5" w:id="5"/>
      <w:bookmarkEnd w:id="5"/>
      <w:r w:rsidDel="00000000" w:rsidR="00000000" w:rsidRPr="00000000">
        <w:rPr>
          <w:rtl w:val="0"/>
        </w:rPr>
        <w:t xml:space="preserve">3.2. Підготовка даних у таблицях</w:t>
      </w:r>
    </w:p>
    <w:p w:rsidR="00000000" w:rsidDel="00000000" w:rsidP="00000000" w:rsidRDefault="00000000" w:rsidRPr="00000000" w14:paraId="0000001C">
      <w:pPr>
        <w:rPr/>
      </w:pPr>
      <w:r w:rsidDel="00000000" w:rsidR="00000000" w:rsidRPr="00000000">
        <w:rPr>
          <w:rtl w:val="0"/>
        </w:rPr>
        <w:t xml:space="preserve">У випадку, якщо спеціалізоване програмне забезпечення не запроваджене,  рекомендовано використовувати структуру таблиці Resources.</w:t>
      </w:r>
    </w:p>
    <w:p w:rsidR="00000000" w:rsidDel="00000000" w:rsidP="00000000" w:rsidRDefault="00000000" w:rsidRPr="00000000" w14:paraId="0000001D">
      <w:pPr>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pPr>
            <w:r w:rsidDel="00000000" w:rsidR="00000000" w:rsidRPr="00000000">
              <w:rPr>
                <w:rtl w:val="0"/>
              </w:rPr>
              <w:t xml:space="preserve">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pPr>
            <w:commentRangeStart w:id="0"/>
            <w:commentRangeStart w:id="1"/>
            <w:commentRangeStart w:id="2"/>
            <w:r w:rsidDel="00000000" w:rsidR="00000000" w:rsidRPr="00000000">
              <w:rPr>
                <w:rtl w:val="0"/>
              </w:rPr>
              <w:t xml:space="preserve">Одне зняття показника лічильника. У випадку, якщо </w:t>
            </w:r>
            <w:r w:rsidDel="00000000" w:rsidR="00000000" w:rsidRPr="00000000">
              <w:rPr>
                <w:rtl w:val="0"/>
              </w:rPr>
              <w:t xml:space="preserve">існує</w:t>
            </w:r>
            <w:r w:rsidDel="00000000" w:rsidR="00000000" w:rsidRPr="00000000">
              <w:rPr>
                <w:rtl w:val="0"/>
              </w:rPr>
              <w:t xml:space="preserve"> декілька тарифів, інформація про споживання ресурсу за кожним тарифом подається в окремих рядках.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Розміщення нової версії ресурсу, можливе створення нового ресурсу щомісяця, щокварталу, щороку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hyperlink r:id="rId17">
              <w:r w:rsidDel="00000000" w:rsidR="00000000" w:rsidRPr="00000000">
                <w:rPr>
                  <w:color w:val="1155cc"/>
                  <w:u w:val="single"/>
                  <w:rtl w:val="0"/>
                </w:rPr>
                <w:t xml:space="preserve">Resources</w:t>
              </w:r>
            </w:hyperlink>
            <w:hyperlink r:id="rId18">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rPr/>
            </w:pPr>
            <w:hyperlink r:id="rId19">
              <w:r w:rsidDel="00000000" w:rsidR="00000000" w:rsidRPr="00000000">
                <w:rPr>
                  <w:color w:val="1155cc"/>
                  <w:u w:val="single"/>
                  <w:rtl w:val="0"/>
                </w:rPr>
                <w:t xml:space="preserve">Example</w:t>
              </w:r>
            </w:hyperlink>
            <w:hyperlink r:id="rId20">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76" w:lineRule="auto"/>
              <w:rPr/>
            </w:pPr>
            <w:hyperlink r:id="rId21">
              <w:r w:rsidDel="00000000" w:rsidR="00000000" w:rsidRPr="00000000">
                <w:rPr>
                  <w:color w:val="1155cc"/>
                  <w:u w:val="single"/>
                  <w:rtl w:val="0"/>
                </w:rPr>
                <w:t xml:space="preserve">Structure.xlsx</w:t>
              </w:r>
            </w:hyperlink>
            <w:r w:rsidDel="00000000" w:rsidR="00000000" w:rsidRPr="00000000">
              <w:rPr>
                <w:rtl w:val="0"/>
              </w:rPr>
              <w:t xml:space="preserve">, </w:t>
            </w:r>
            <w:hyperlink r:id="rId22">
              <w:r w:rsidDel="00000000" w:rsidR="00000000" w:rsidRPr="00000000">
                <w:rPr>
                  <w:color w:val="1155cc"/>
                  <w:u w:val="single"/>
                  <w:rtl w:val="0"/>
                </w:rPr>
                <w:t xml:space="preserve">Structure.csv</w:t>
              </w:r>
            </w:hyperlink>
            <w:r w:rsidDel="00000000" w:rsidR="00000000" w:rsidRPr="00000000">
              <w:rPr>
                <w:rtl w:val="0"/>
              </w:rPr>
              <w:t xml:space="preserve">, </w:t>
            </w:r>
            <w:hyperlink r:id="rId23">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E">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4">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30">
      <w:pPr>
        <w:spacing w:after="200" w:line="276" w:lineRule="auto"/>
        <w:jc w:val="center"/>
        <w:rPr>
          <w:b w:val="1"/>
        </w:rPr>
      </w:pPr>
      <w:r w:rsidDel="00000000" w:rsidR="00000000" w:rsidRPr="00000000">
        <w:rPr>
          <w:rtl w:val="0"/>
        </w:rPr>
      </w:r>
    </w:p>
    <w:p w:rsidR="00000000" w:rsidDel="00000000" w:rsidP="00000000" w:rsidRDefault="00000000" w:rsidRPr="00000000" w14:paraId="00000031">
      <w:pPr>
        <w:spacing w:after="200" w:line="276" w:lineRule="auto"/>
        <w:jc w:val="center"/>
        <w:rPr>
          <w:b w:val="1"/>
        </w:rPr>
      </w:pPr>
      <w:r w:rsidDel="00000000" w:rsidR="00000000" w:rsidRPr="00000000">
        <w:rPr>
          <w:b w:val="1"/>
          <w:rtl w:val="0"/>
        </w:rPr>
        <w:t xml:space="preserve">Таблиця 1 — </w:t>
      </w:r>
      <w:commentRangeStart w:id="3"/>
      <w:commentRangeStart w:id="4"/>
      <w:commentRangeStart w:id="5"/>
      <w:commentRangeStart w:id="6"/>
      <w:r w:rsidDel="00000000" w:rsidR="00000000" w:rsidRPr="00000000">
        <w:rPr>
          <w:b w:val="1"/>
          <w:rtl w:val="0"/>
        </w:rPr>
        <w:t xml:space="preserve">Структура таблиці Resources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tbl>
      <w:tblPr>
        <w:tblStyle w:val="Table4"/>
        <w:tblW w:w="9090.0" w:type="dxa"/>
        <w:jc w:val="left"/>
        <w:tblInd w:w="99.21259842519686"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35"/>
        <w:gridCol w:w="1740"/>
        <w:gridCol w:w="3255"/>
        <w:gridCol w:w="1275"/>
        <w:gridCol w:w="1485"/>
        <w:tblGridChange w:id="0">
          <w:tblGrid>
            <w:gridCol w:w="1335"/>
            <w:gridCol w:w="1740"/>
            <w:gridCol w:w="3255"/>
            <w:gridCol w:w="1275"/>
            <w:gridCol w:w="1485"/>
          </w:tblGrid>
        </w:tblGridChange>
      </w:tblGrid>
      <w:tr>
        <w:trPr>
          <w:trHeight w:val="90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2">
            <w:pPr>
              <w:spacing w:line="276" w:lineRule="auto"/>
              <w:rPr>
                <w:b w:val="1"/>
              </w:rPr>
            </w:pPr>
            <w:r w:rsidDel="00000000" w:rsidR="00000000" w:rsidRPr="00000000">
              <w:rPr>
                <w:b w:val="1"/>
                <w:rtl w:val="0"/>
              </w:rPr>
              <w:t xml:space="preserve">Назва колонки (name)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3">
            <w:pPr>
              <w:spacing w:line="276" w:lineRule="auto"/>
              <w:rPr>
                <w:b w:val="1"/>
              </w:rPr>
            </w:pPr>
            <w:r w:rsidDel="00000000" w:rsidR="00000000" w:rsidRPr="00000000">
              <w:rPr>
                <w:b w:val="1"/>
                <w:rtl w:val="0"/>
              </w:rPr>
              <w:t xml:space="preserve">Заголовок колонки (title)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4">
            <w:pPr>
              <w:spacing w:line="276" w:lineRule="auto"/>
              <w:rPr>
                <w:b w:val="1"/>
              </w:rPr>
            </w:pPr>
            <w:r w:rsidDel="00000000" w:rsidR="00000000" w:rsidRPr="00000000">
              <w:rPr>
                <w:b w:val="1"/>
                <w:rtl w:val="0"/>
              </w:rPr>
              <w:t xml:space="preserve">Опис значень (description)</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5">
            <w:pPr>
              <w:spacing w:line="276" w:lineRule="auto"/>
              <w:rPr>
                <w:b w:val="1"/>
              </w:rPr>
            </w:pPr>
            <w:r w:rsidDel="00000000" w:rsidR="00000000" w:rsidRPr="00000000">
              <w:rPr>
                <w:b w:val="1"/>
                <w:rtl w:val="0"/>
              </w:rPr>
              <w:t xml:space="preserve">Тип даних (datatype)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6">
            <w:pPr>
              <w:spacing w:line="276" w:lineRule="auto"/>
              <w:rPr>
                <w:b w:val="1"/>
              </w:rPr>
            </w:pPr>
            <w:r w:rsidDel="00000000" w:rsidR="00000000" w:rsidRPr="00000000">
              <w:rPr>
                <w:b w:val="1"/>
                <w:rtl w:val="0"/>
              </w:rPr>
              <w:t xml:space="preserve">Вимога заповнення (required)</w:t>
            </w:r>
          </w:p>
        </w:tc>
      </w:tr>
      <w:tr>
        <w:trPr>
          <w:trHeight w:val="7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7">
            <w:pPr>
              <w:spacing w:line="276" w:lineRule="auto"/>
              <w:rPr/>
            </w:pPr>
            <w:r w:rsidDel="00000000" w:rsidR="00000000" w:rsidRPr="00000000">
              <w:rPr>
                <w:rtl w:val="0"/>
              </w:rPr>
              <w:t xml:space="preserve">id</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8">
            <w:pPr>
              <w:spacing w:line="276" w:lineRule="auto"/>
              <w:rPr/>
            </w:pPr>
            <w:r w:rsidDel="00000000" w:rsidR="00000000" w:rsidRPr="00000000">
              <w:rPr>
                <w:rtl w:val="0"/>
              </w:rPr>
              <w:t xml:space="preserve">Ідентифікатор показника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9">
            <w:pPr>
              <w:spacing w:line="276" w:lineRule="auto"/>
              <w:rPr/>
            </w:pPr>
            <w:r w:rsidDel="00000000" w:rsidR="00000000" w:rsidRPr="00000000">
              <w:rPr>
                <w:rtl w:val="0"/>
              </w:rPr>
              <w:t xml:space="preserve">Порядковий номер або будь-який інший ідентифікатор показника. Наприклад: 5.</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A">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B">
            <w:pPr>
              <w:spacing w:line="276" w:lineRule="auto"/>
              <w:rPr/>
            </w:pPr>
            <w:r w:rsidDel="00000000" w:rsidR="00000000" w:rsidRPr="00000000">
              <w:rPr>
                <w:rtl w:val="0"/>
              </w:rPr>
              <w:t xml:space="preserve">Істина (true)</w:t>
            </w:r>
          </w:p>
        </w:tc>
      </w:tr>
      <w:tr>
        <w:trPr>
          <w:trHeight w:val="8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C">
            <w:pPr>
              <w:rPr/>
            </w:pPr>
            <w:r w:rsidDel="00000000" w:rsidR="00000000" w:rsidRPr="00000000">
              <w:rPr>
                <w:rtl w:val="0"/>
              </w:rPr>
              <w:t xml:space="preserve">date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D">
            <w:pPr>
              <w:rPr/>
            </w:pPr>
            <w:r w:rsidDel="00000000" w:rsidR="00000000" w:rsidRPr="00000000">
              <w:rPr>
                <w:rtl w:val="0"/>
              </w:rPr>
              <w:t xml:space="preserve">Дата зняття показника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E">
            <w:pPr>
              <w:rPr/>
            </w:pPr>
            <w:r w:rsidDel="00000000" w:rsidR="00000000" w:rsidRPr="00000000">
              <w:rPr>
                <w:rtl w:val="0"/>
              </w:rPr>
              <w:t xml:space="preserve">Дата зняття показника у форматі ISO 8601 (рррр-мм-дд). Наприклад: 2018-07-06.</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F">
            <w:pPr>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0">
            <w:pPr>
              <w:rPr/>
            </w:pPr>
            <w:r w:rsidDel="00000000" w:rsidR="00000000" w:rsidRPr="00000000">
              <w:rPr>
                <w:rtl w:val="0"/>
              </w:rPr>
              <w:t xml:space="preserve">Істина (true)</w:t>
            </w:r>
          </w:p>
        </w:tc>
      </w:tr>
      <w:tr>
        <w:trPr>
          <w:trHeight w:val="8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1">
            <w:pPr>
              <w:spacing w:line="276" w:lineRule="auto"/>
              <w:rPr/>
            </w:pPr>
            <w:r w:rsidDel="00000000" w:rsidR="00000000" w:rsidRPr="00000000">
              <w:rPr>
                <w:rtl w:val="0"/>
              </w:rPr>
              <w:t xml:space="preserve">organizationName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2">
            <w:pPr>
              <w:spacing w:line="276" w:lineRule="auto"/>
              <w:rPr/>
            </w:pPr>
            <w:r w:rsidDel="00000000" w:rsidR="00000000" w:rsidRPr="00000000">
              <w:rPr>
                <w:rtl w:val="0"/>
              </w:rPr>
              <w:t xml:space="preserve">Назва закладу</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3">
            <w:pPr>
              <w:spacing w:line="276" w:lineRule="auto"/>
              <w:rPr/>
            </w:pPr>
            <w:r w:rsidDel="00000000" w:rsidR="00000000" w:rsidRPr="00000000">
              <w:rPr>
                <w:rtl w:val="0"/>
              </w:rPr>
              <w:t xml:space="preserve">Повна назва закладу відповідно до Єдиного державного реєстра юридичних осіб, фізичних осіб-підприємців і громадських формувань (ЄДР). Наприклад: Київський міський пологовий будинок.</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4">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5">
            <w:pPr>
              <w:spacing w:line="276" w:lineRule="auto"/>
              <w:rPr/>
            </w:pPr>
            <w:r w:rsidDel="00000000" w:rsidR="00000000" w:rsidRPr="00000000">
              <w:rPr>
                <w:rtl w:val="0"/>
              </w:rPr>
              <w:t xml:space="preserve">Істина (true)</w:t>
            </w:r>
          </w:p>
        </w:tc>
      </w:tr>
      <w:tr>
        <w:trPr>
          <w:trHeight w:val="8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6">
            <w:pPr>
              <w:spacing w:line="276" w:lineRule="auto"/>
              <w:rPr/>
            </w:pPr>
            <w:r w:rsidDel="00000000" w:rsidR="00000000" w:rsidRPr="00000000">
              <w:rPr>
                <w:rtl w:val="0"/>
              </w:rPr>
              <w:t xml:space="preserve">organizationID</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7">
            <w:pPr>
              <w:spacing w:line="276" w:lineRule="auto"/>
              <w:rPr/>
            </w:pPr>
            <w:r w:rsidDel="00000000" w:rsidR="00000000" w:rsidRPr="00000000">
              <w:rPr>
                <w:rtl w:val="0"/>
              </w:rPr>
              <w:t xml:space="preserve">Ідентифікатор закладу</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8">
            <w:pPr>
              <w:spacing w:line="276" w:lineRule="auto"/>
              <w:rPr/>
            </w:pPr>
            <w:r w:rsidDel="00000000" w:rsidR="00000000" w:rsidRPr="00000000">
              <w:rPr>
                <w:rtl w:val="0"/>
              </w:rPr>
              <w:t xml:space="preserve">Код ЄДРПОУ закладу. Наприклад: 01234567.</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9">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A">
            <w:pPr>
              <w:spacing w:line="276" w:lineRule="auto"/>
              <w:rPr/>
            </w:pPr>
            <w:r w:rsidDel="00000000" w:rsidR="00000000" w:rsidRPr="00000000">
              <w:rPr>
                <w:rtl w:val="0"/>
              </w:rPr>
              <w:t xml:space="preserve">Істина (true)</w:t>
            </w:r>
          </w:p>
        </w:tc>
      </w:tr>
      <w:tr>
        <w:trPr>
          <w:trHeight w:val="8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B">
            <w:pPr>
              <w:rPr/>
            </w:pPr>
            <w:r w:rsidDel="00000000" w:rsidR="00000000" w:rsidRPr="00000000">
              <w:rPr>
                <w:rtl w:val="0"/>
              </w:rPr>
              <w:t xml:space="preserve">providerName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C">
            <w:pPr>
              <w:rPr/>
            </w:pPr>
            <w:r w:rsidDel="00000000" w:rsidR="00000000" w:rsidRPr="00000000">
              <w:rPr>
                <w:rtl w:val="0"/>
              </w:rPr>
              <w:t xml:space="preserve">Назва постачальника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D">
            <w:pPr>
              <w:rPr/>
            </w:pPr>
            <w:r w:rsidDel="00000000" w:rsidR="00000000" w:rsidRPr="00000000">
              <w:rPr>
                <w:rtl w:val="0"/>
              </w:rPr>
              <w:t xml:space="preserve">Повна назва постачальника послуг відповідно до ЄДР. Наприклад: ПАТ «Київтеплоенерго».</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E">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F">
            <w:pPr>
              <w:rPr/>
            </w:pPr>
            <w:r w:rsidDel="00000000" w:rsidR="00000000" w:rsidRPr="00000000">
              <w:rPr>
                <w:rtl w:val="0"/>
              </w:rPr>
              <w:t xml:space="preserve">Істина (true)</w:t>
            </w:r>
          </w:p>
        </w:tc>
      </w:tr>
      <w:tr>
        <w:trPr>
          <w:trHeight w:val="8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0">
            <w:pPr>
              <w:rPr/>
            </w:pPr>
            <w:r w:rsidDel="00000000" w:rsidR="00000000" w:rsidRPr="00000000">
              <w:rPr>
                <w:rtl w:val="0"/>
              </w:rPr>
              <w:t xml:space="preserve">providerI</w:t>
            </w:r>
            <w:r w:rsidDel="00000000" w:rsidR="00000000" w:rsidRPr="00000000">
              <w:rPr>
                <w:rtl w:val="0"/>
              </w:rPr>
              <w:t xml:space="preserve">D</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1">
            <w:pPr>
              <w:rPr/>
            </w:pPr>
            <w:r w:rsidDel="00000000" w:rsidR="00000000" w:rsidRPr="00000000">
              <w:rPr>
                <w:rtl w:val="0"/>
              </w:rPr>
              <w:t xml:space="preserve">Ідентифікатор постачальника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2">
            <w:pPr>
              <w:rPr/>
            </w:pPr>
            <w:r w:rsidDel="00000000" w:rsidR="00000000" w:rsidRPr="00000000">
              <w:rPr>
                <w:rtl w:val="0"/>
              </w:rPr>
              <w:t xml:space="preserve">Код ЄДРПОУ постачальника послуг. Наприклад: 01234567.</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3">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4">
            <w:pPr>
              <w:rPr/>
            </w:pPr>
            <w:r w:rsidDel="00000000" w:rsidR="00000000" w:rsidRPr="00000000">
              <w:rPr>
                <w:rtl w:val="0"/>
              </w:rPr>
              <w:t xml:space="preserve">Істина (true)</w:t>
            </w:r>
          </w:p>
        </w:tc>
      </w:tr>
      <w:tr>
        <w:trPr>
          <w:trHeight w:val="8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5">
            <w:pPr>
              <w:rPr/>
            </w:pPr>
            <w:r w:rsidDel="00000000" w:rsidR="00000000" w:rsidRPr="00000000">
              <w:rPr>
                <w:rtl w:val="0"/>
              </w:rPr>
              <w:t xml:space="preserve">meterNumber</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6">
            <w:pPr>
              <w:rPr/>
            </w:pPr>
            <w:r w:rsidDel="00000000" w:rsidR="00000000" w:rsidRPr="00000000">
              <w:rPr>
                <w:rtl w:val="0"/>
              </w:rPr>
              <w:t xml:space="preserve">Ідентифікатор лічильника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7">
            <w:pPr>
              <w:rPr/>
            </w:pPr>
            <w:r w:rsidDel="00000000" w:rsidR="00000000" w:rsidRPr="00000000">
              <w:rPr>
                <w:rtl w:val="0"/>
              </w:rPr>
              <w:t xml:space="preserve">Заводський номер лічильника або будь-який його ідентифікатор. Наприклад: ЛВ-210/654.</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8">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9">
            <w:pPr>
              <w:rPr/>
            </w:pPr>
            <w:r w:rsidDel="00000000" w:rsidR="00000000" w:rsidRPr="00000000">
              <w:rPr>
                <w:rtl w:val="0"/>
              </w:rPr>
              <w:t xml:space="preserve">Істина (true)</w:t>
            </w:r>
          </w:p>
        </w:tc>
      </w:tr>
      <w:tr>
        <w:trPr>
          <w:trHeight w:val="8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A">
            <w:pPr>
              <w:rPr/>
            </w:pP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B">
            <w:pPr>
              <w:rPr/>
            </w:pPr>
            <w:r w:rsidDel="00000000" w:rsidR="00000000" w:rsidRPr="00000000">
              <w:rPr>
                <w:rtl w:val="0"/>
              </w:rPr>
              <w:t xml:space="preserve">Тип послуги</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C">
            <w:pPr>
              <w:rPr/>
            </w:pPr>
            <w:r w:rsidDel="00000000" w:rsidR="00000000" w:rsidRPr="00000000">
              <w:rPr>
                <w:rtl w:val="0"/>
              </w:rPr>
              <w:t xml:space="preserve">Тип комунальної послуги. Наприклад: Централізоване водопостачання.</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D">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E">
            <w:pPr>
              <w:rPr/>
            </w:pPr>
            <w:r w:rsidDel="00000000" w:rsidR="00000000" w:rsidRPr="00000000">
              <w:rPr>
                <w:rtl w:val="0"/>
              </w:rPr>
              <w:t xml:space="preserve">Істина (true)</w:t>
            </w:r>
          </w:p>
        </w:tc>
      </w:tr>
      <w:tr>
        <w:trPr>
          <w:trHeight w:val="8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F">
            <w:pPr>
              <w:rPr/>
            </w:pPr>
            <w:r w:rsidDel="00000000" w:rsidR="00000000" w:rsidRPr="00000000">
              <w:rPr>
                <w:rtl w:val="0"/>
              </w:rPr>
              <w:t xml:space="preserve">q</w:t>
            </w:r>
            <w:r w:rsidDel="00000000" w:rsidR="00000000" w:rsidRPr="00000000">
              <w:rPr>
                <w:rtl w:val="0"/>
              </w:rPr>
              <w:t xml:space="preserve">uantity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0">
            <w:pPr>
              <w:rPr/>
            </w:pPr>
            <w:r w:rsidDel="00000000" w:rsidR="00000000" w:rsidRPr="00000000">
              <w:rPr>
                <w:rtl w:val="0"/>
              </w:rPr>
              <w:t xml:space="preserve">Показник</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1">
            <w:pPr>
              <w:rPr/>
            </w:pPr>
            <w:commentRangeStart w:id="7"/>
            <w:commentRangeStart w:id="8"/>
            <w:r w:rsidDel="00000000" w:rsidR="00000000" w:rsidRPr="00000000">
              <w:rPr>
                <w:rtl w:val="0"/>
              </w:rPr>
              <w:t xml:space="preserve">Показники лічильника або обсяг твердого палива. Наприклад: 100.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2">
            <w:pPr>
              <w:rPr/>
            </w:pP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3">
            <w:pPr>
              <w:rPr/>
            </w:pPr>
            <w:r w:rsidDel="00000000" w:rsidR="00000000" w:rsidRPr="00000000">
              <w:rPr>
                <w:rtl w:val="0"/>
              </w:rPr>
              <w:t xml:space="preserve">Істина (true)</w:t>
            </w:r>
          </w:p>
        </w:tc>
      </w:tr>
      <w:tr>
        <w:trPr>
          <w:trHeight w:val="8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4">
            <w:pPr>
              <w:rPr/>
            </w:pPr>
            <w:r w:rsidDel="00000000" w:rsidR="00000000" w:rsidRPr="00000000">
              <w:rPr>
                <w:rtl w:val="0"/>
              </w:rPr>
              <w:t xml:space="preserve">u</w:t>
            </w:r>
            <w:r w:rsidDel="00000000" w:rsidR="00000000" w:rsidRPr="00000000">
              <w:rPr>
                <w:rtl w:val="0"/>
              </w:rPr>
              <w:t xml:space="preserve">nitName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5">
            <w:pPr>
              <w:rPr/>
            </w:pPr>
            <w:r w:rsidDel="00000000" w:rsidR="00000000" w:rsidRPr="00000000">
              <w:rPr>
                <w:rtl w:val="0"/>
              </w:rPr>
              <w:t xml:space="preserve">Одиниця виміру</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6">
            <w:pPr>
              <w:rPr/>
            </w:pPr>
            <w:r w:rsidDel="00000000" w:rsidR="00000000" w:rsidRPr="00000000">
              <w:rPr>
                <w:rtl w:val="0"/>
              </w:rPr>
              <w:t xml:space="preserve">Назва одиниці виміру показника. Наприклад: кубічний метр.</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7">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8">
            <w:pPr>
              <w:rPr/>
            </w:pPr>
            <w:r w:rsidDel="00000000" w:rsidR="00000000" w:rsidRPr="00000000">
              <w:rPr>
                <w:rtl w:val="0"/>
              </w:rPr>
              <w:t xml:space="preserve">Істина (true)</w:t>
            </w:r>
          </w:p>
        </w:tc>
      </w:tr>
    </w:tbl>
    <w:p w:rsidR="00000000" w:rsidDel="00000000" w:rsidP="00000000" w:rsidRDefault="00000000" w:rsidRPr="00000000" w14:paraId="00000069">
      <w:pPr>
        <w:spacing w:after="200" w:line="276" w:lineRule="auto"/>
        <w:jc w:val="left"/>
        <w:rPr>
          <w:b w:val="1"/>
        </w:rPr>
      </w:pPr>
      <w:r w:rsidDel="00000000" w:rsidR="00000000" w:rsidRPr="00000000">
        <w:rPr>
          <w:rtl w:val="0"/>
        </w:rPr>
      </w:r>
    </w:p>
    <w:p w:rsidR="00000000" w:rsidDel="00000000" w:rsidP="00000000" w:rsidRDefault="00000000" w:rsidRPr="00000000" w14:paraId="0000006A">
      <w:pPr>
        <w:pStyle w:val="Heading1"/>
        <w:spacing w:line="276" w:lineRule="auto"/>
        <w:rPr/>
      </w:pPr>
      <w:bookmarkStart w:colFirst="0" w:colLast="0" w:name="_ay4hfjxzl714" w:id="6"/>
      <w:bookmarkEnd w:id="6"/>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6C">
      <w:pPr>
        <w:spacing w:after="200" w:line="276" w:lineRule="auto"/>
        <w:rPr/>
      </w:pPr>
      <w:r w:rsidDel="00000000" w:rsidR="00000000" w:rsidRPr="00000000">
        <w:rPr>
          <w:rtl w:val="0"/>
        </w:rPr>
      </w:r>
    </w:p>
    <w:p w:rsidR="00000000" w:rsidDel="00000000" w:rsidP="00000000" w:rsidRDefault="00000000" w:rsidRPr="00000000" w14:paraId="0000006D">
      <w:pPr>
        <w:spacing w:after="200" w:line="276" w:lineRule="auto"/>
        <w:jc w:val="center"/>
        <w:rPr>
          <w:b w:val="1"/>
        </w:rPr>
      </w:pPr>
      <w:r w:rsidDel="00000000" w:rsidR="00000000" w:rsidRPr="00000000">
        <w:rPr>
          <w:b w:val="1"/>
          <w:rtl w:val="0"/>
        </w:rPr>
        <w:t xml:space="preserve">Таблиця 2</w:t>
      </w:r>
      <w:r w:rsidDel="00000000" w:rsidR="00000000" w:rsidRPr="00000000">
        <w:rPr>
          <w:b w:val="1"/>
          <w:rtl w:val="0"/>
        </w:rPr>
        <w:t xml:space="preserve">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6E">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6F">
            <w:pPr>
              <w:widowControl w:val="0"/>
              <w:spacing w:line="276" w:lineRule="auto"/>
              <w:rPr>
                <w:b w:val="1"/>
              </w:rPr>
            </w:pPr>
            <w:r w:rsidDel="00000000" w:rsidR="00000000" w:rsidRPr="00000000">
              <w:rPr>
                <w:b w:val="1"/>
                <w:rtl w:val="0"/>
              </w:rPr>
              <w:t xml:space="preserve">Приклад заповнення</w:t>
            </w:r>
          </w:p>
        </w:tc>
      </w:tr>
      <w:tr>
        <w:trPr>
          <w:trHeight w:val="780" w:hRule="atLeast"/>
        </w:trPr>
        <w:tc>
          <w:tcPr/>
          <w:p w:rsidR="00000000" w:rsidDel="00000000" w:rsidP="00000000" w:rsidRDefault="00000000" w:rsidRPr="00000000" w14:paraId="00000070">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071">
            <w:pPr>
              <w:widowControl w:val="0"/>
              <w:spacing w:line="276" w:lineRule="auto"/>
              <w:rPr/>
            </w:pPr>
            <w:r w:rsidDel="00000000" w:rsidR="00000000" w:rsidRPr="00000000">
              <w:rPr>
                <w:rtl w:val="0"/>
              </w:rPr>
              <w:t xml:space="preserve">Інформація про споживання комунальних ресурсів комунальними підприємствами, установами (закладами) та організаціями Миколаївської міської ради</w:t>
            </w:r>
          </w:p>
        </w:tc>
      </w:tr>
      <w:tr>
        <w:trPr>
          <w:trHeight w:val="20" w:hRule="atLeast"/>
        </w:trPr>
        <w:tc>
          <w:tcPr/>
          <w:p w:rsidR="00000000" w:rsidDel="00000000" w:rsidP="00000000" w:rsidRDefault="00000000" w:rsidRPr="00000000" w14:paraId="00000072">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73">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74">
            <w:pPr>
              <w:spacing w:line="276" w:lineRule="auto"/>
              <w:rPr/>
            </w:pPr>
            <w:r w:rsidDel="00000000" w:rsidR="00000000" w:rsidRPr="00000000">
              <w:rPr>
                <w:rtl w:val="0"/>
              </w:rPr>
              <w:t xml:space="preserve">Частота оновлення</w:t>
            </w:r>
          </w:p>
        </w:tc>
        <w:tc>
          <w:tcPr/>
          <w:p w:rsidR="00000000" w:rsidDel="00000000" w:rsidP="00000000" w:rsidRDefault="00000000" w:rsidRPr="00000000" w14:paraId="00000075">
            <w:pPr>
              <w:widowControl w:val="0"/>
              <w:spacing w:line="276" w:lineRule="auto"/>
              <w:rPr/>
            </w:pPr>
            <w:r w:rsidDel="00000000" w:rsidR="00000000" w:rsidRPr="00000000">
              <w:rPr>
                <w:rtl w:val="0"/>
              </w:rPr>
              <w:t xml:space="preserve">Щотижня</w:t>
            </w:r>
            <w:r w:rsidDel="00000000" w:rsidR="00000000" w:rsidRPr="00000000">
              <w:rPr>
                <w:rtl w:val="0"/>
              </w:rPr>
            </w:r>
          </w:p>
        </w:tc>
      </w:tr>
      <w:tr>
        <w:tc>
          <w:tcPr/>
          <w:p w:rsidR="00000000" w:rsidDel="00000000" w:rsidP="00000000" w:rsidRDefault="00000000" w:rsidRPr="00000000" w14:paraId="00000076">
            <w:pPr>
              <w:spacing w:line="276" w:lineRule="auto"/>
              <w:rPr/>
            </w:pPr>
            <w:r w:rsidDel="00000000" w:rsidR="00000000" w:rsidRPr="00000000">
              <w:rP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77">
            <w:pPr>
              <w:widowControl w:val="0"/>
              <w:spacing w:line="276" w:lineRule="auto"/>
              <w:rPr/>
            </w:pPr>
            <w:r w:rsidDel="00000000" w:rsidR="00000000" w:rsidRPr="00000000">
              <w:rPr>
                <w:rtl w:val="0"/>
              </w:rPr>
              <w:t xml:space="preserve">Набір містить інформацію про споживання комунальних ресурсів комунальними підприємствами, установами (закладами) та організаціями Миколаївської міської ради. Зокрема дані про заклади, постачальників, види послуг, показники лічильників, дати їх фіксації та інше.</w:t>
            </w:r>
          </w:p>
        </w:tc>
      </w:tr>
      <w:tr>
        <w:trPr>
          <w:trHeight w:val="180" w:hRule="atLeast"/>
        </w:trPr>
        <w:tc>
          <w:tcPr/>
          <w:p w:rsidR="00000000" w:rsidDel="00000000" w:rsidP="00000000" w:rsidRDefault="00000000" w:rsidRPr="00000000" w14:paraId="00000078">
            <w:pPr>
              <w:spacing w:line="276" w:lineRule="auto"/>
              <w:rPr/>
            </w:pPr>
            <w:r w:rsidDel="00000000" w:rsidR="00000000" w:rsidRPr="00000000">
              <w:rPr>
                <w:rtl w:val="0"/>
              </w:rPr>
              <w:t xml:space="preserve">Підстава та призначення збору інформації</w:t>
            </w:r>
          </w:p>
        </w:tc>
        <w:tc>
          <w:tcPr/>
          <w:p w:rsidR="00000000" w:rsidDel="00000000" w:rsidP="00000000" w:rsidRDefault="00000000" w:rsidRPr="00000000" w14:paraId="00000079">
            <w:pPr>
              <w:widowControl w:val="0"/>
              <w:spacing w:line="276" w:lineRule="auto"/>
              <w:rPr/>
            </w:pPr>
            <w:r w:rsidDel="00000000" w:rsidR="00000000" w:rsidRPr="00000000">
              <w:rPr>
                <w:rtl w:val="0"/>
              </w:rPr>
              <w:t xml:space="preserve">Закон України «Про місцеве самоврядування в Україні» від 21.05.1997 № 280/97-ВР, Закон України «Про енергозбереження» від 01.07.1994 № 74/94-ВР, Рішення Виконавчого комітету Миколаївської міської ради «Про запровадження системи енергоменеджменту та енергомоніторингу в бюджетній сфері м. Миколаєва» від № 997 від 24 листопада 2017 року.</w:t>
            </w:r>
            <w:r w:rsidDel="00000000" w:rsidR="00000000" w:rsidRPr="00000000">
              <w:rPr>
                <w:rtl w:val="0"/>
              </w:rPr>
            </w:r>
          </w:p>
        </w:tc>
      </w:tr>
      <w:tr>
        <w:trPr>
          <w:trHeight w:val="120" w:hRule="atLeast"/>
        </w:trPr>
        <w:tc>
          <w:tcPr/>
          <w:p w:rsidR="00000000" w:rsidDel="00000000" w:rsidP="00000000" w:rsidRDefault="00000000" w:rsidRPr="00000000" w14:paraId="0000007A">
            <w:pPr>
              <w:spacing w:line="276" w:lineRule="auto"/>
              <w:rPr/>
            </w:pPr>
            <w:r w:rsidDel="00000000" w:rsidR="00000000" w:rsidRPr="00000000">
              <w:rPr>
                <w:rtl w:val="0"/>
              </w:rPr>
              <w:t xml:space="preserve">Ключові слова</w:t>
            </w:r>
          </w:p>
        </w:tc>
        <w:tc>
          <w:tcPr/>
          <w:p w:rsidR="00000000" w:rsidDel="00000000" w:rsidP="00000000" w:rsidRDefault="00000000" w:rsidRPr="00000000" w14:paraId="0000007B">
            <w:pPr>
              <w:widowControl w:val="0"/>
              <w:rPr/>
            </w:pPr>
            <w:r w:rsidDel="00000000" w:rsidR="00000000" w:rsidRPr="00000000">
              <w:rPr>
                <w:rtl w:val="0"/>
              </w:rPr>
              <w:t xml:space="preserve">ЖКП, споживання, ресурси, енергоефективність, енергомоніторинг, електроенергія, водопостачання, водовідведення, опалення, теплопостачання, теплова енергія, природний газ, тверде паливо, холодна вода, гаряча вода, житлово-комунальні послуги</w:t>
            </w:r>
          </w:p>
        </w:tc>
      </w:tr>
      <w:tr>
        <w:trPr>
          <w:trHeight w:val="460" w:hRule="atLeast"/>
        </w:trPr>
        <w:tc>
          <w:tcPr/>
          <w:p w:rsidR="00000000" w:rsidDel="00000000" w:rsidP="00000000" w:rsidRDefault="00000000" w:rsidRPr="00000000" w14:paraId="0000007C">
            <w:pPr>
              <w:spacing w:line="276" w:lineRule="auto"/>
              <w:rPr/>
            </w:pPr>
            <w:r w:rsidDel="00000000" w:rsidR="00000000" w:rsidRPr="00000000">
              <w:rPr>
                <w:rtl w:val="0"/>
              </w:rPr>
              <w:t xml:space="preserve">Відповідальна особа</w:t>
            </w:r>
          </w:p>
        </w:tc>
        <w:tc>
          <w:tcPr/>
          <w:p w:rsidR="00000000" w:rsidDel="00000000" w:rsidP="00000000" w:rsidRDefault="00000000" w:rsidRPr="00000000" w14:paraId="0000007D">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7E">
            <w:pPr>
              <w:spacing w:line="276" w:lineRule="auto"/>
              <w:rPr/>
            </w:pPr>
            <w:r w:rsidDel="00000000" w:rsidR="00000000" w:rsidRPr="00000000">
              <w:rPr>
                <w:rtl w:val="0"/>
              </w:rPr>
              <w:t xml:space="preserve">Адреса електронної пошти відповідальної особи</w:t>
            </w:r>
          </w:p>
        </w:tc>
        <w:tc>
          <w:tcPr/>
          <w:p w:rsidR="00000000" w:rsidDel="00000000" w:rsidP="00000000" w:rsidRDefault="00000000" w:rsidRPr="00000000" w14:paraId="0000007F">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80">
      <w:pPr>
        <w:spacing w:after="200" w:line="276" w:lineRule="auto"/>
        <w:jc w:val="center"/>
        <w:rPr/>
      </w:pPr>
      <w:r w:rsidDel="00000000" w:rsidR="00000000" w:rsidRPr="00000000">
        <w:rPr>
          <w:rtl w:val="0"/>
        </w:rPr>
      </w:r>
    </w:p>
    <w:p w:rsidR="00000000" w:rsidDel="00000000" w:rsidP="00000000" w:rsidRDefault="00000000" w:rsidRPr="00000000" w14:paraId="00000081">
      <w:pPr>
        <w:spacing w:after="200" w:line="276" w:lineRule="auto"/>
        <w:jc w:val="center"/>
        <w:rPr>
          <w:b w:val="1"/>
        </w:rPr>
      </w:pPr>
      <w:r w:rsidDel="00000000" w:rsidR="00000000" w:rsidRPr="00000000">
        <w:rPr>
          <w:b w:val="1"/>
          <w:rtl w:val="0"/>
        </w:rPr>
        <w:t xml:space="preserve">Таблиця 3</w:t>
      </w:r>
      <w:r w:rsidDel="00000000" w:rsidR="00000000" w:rsidRPr="00000000">
        <w:rPr>
          <w:b w:val="1"/>
          <w:rtl w:val="0"/>
        </w:rPr>
        <w:t xml:space="preserve"> — Приклад паспорта ресурсу Resources</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82">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83">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84">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85">
            <w:pPr>
              <w:spacing w:line="276" w:lineRule="auto"/>
              <w:rPr/>
            </w:pPr>
            <w:r w:rsidDel="00000000" w:rsidR="00000000" w:rsidRPr="00000000">
              <w:rPr>
                <w:rtl w:val="0"/>
              </w:rPr>
              <w:t xml:space="preserve">Resources.xlsx</w:t>
            </w:r>
          </w:p>
        </w:tc>
      </w:tr>
      <w:tr>
        <w:tc>
          <w:tcPr/>
          <w:p w:rsidR="00000000" w:rsidDel="00000000" w:rsidP="00000000" w:rsidRDefault="00000000" w:rsidRPr="00000000" w14:paraId="00000086">
            <w:pPr>
              <w:spacing w:line="276" w:lineRule="auto"/>
              <w:rPr/>
            </w:pPr>
            <w:r w:rsidDel="00000000" w:rsidR="00000000" w:rsidRPr="00000000">
              <w:rPr>
                <w:rtl w:val="0"/>
              </w:rPr>
              <w:t xml:space="preserve">Опис</w:t>
            </w:r>
          </w:p>
        </w:tc>
        <w:tc>
          <w:tcPr/>
          <w:p w:rsidR="00000000" w:rsidDel="00000000" w:rsidP="00000000" w:rsidRDefault="00000000" w:rsidRPr="00000000" w14:paraId="00000087">
            <w:pPr>
              <w:widowControl w:val="0"/>
              <w:spacing w:line="276" w:lineRule="auto"/>
              <w:rPr/>
            </w:pPr>
            <w:r w:rsidDel="00000000" w:rsidR="00000000" w:rsidRPr="00000000">
              <w:rPr>
                <w:rtl w:val="0"/>
              </w:rPr>
              <w:t xml:space="preserve">Таблиця містить дані про зняття показників споживання житлово-комунальних послуг з лічильників. Кожним записом до таблиці є одне зняття показника лічильника. </w:t>
            </w:r>
          </w:p>
          <w:p w:rsidR="00000000" w:rsidDel="00000000" w:rsidP="00000000" w:rsidRDefault="00000000" w:rsidRPr="00000000" w14:paraId="00000088">
            <w:pPr>
              <w:widowControl w:val="0"/>
              <w:spacing w:line="276" w:lineRule="auto"/>
              <w:rPr/>
            </w:pPr>
            <w:r w:rsidDel="00000000" w:rsidR="00000000" w:rsidRPr="00000000">
              <w:rPr>
                <w:rtl w:val="0"/>
              </w:rPr>
              <w:t xml:space="preserve">Для кожного показника вказаний заклад, номер лічильника, вид послуги, постачальник, показник, одиниця виміру, дата фіксації.</w:t>
            </w:r>
          </w:p>
        </w:tc>
      </w:tr>
      <w:tr>
        <w:trPr>
          <w:trHeight w:val="160" w:hRule="atLeast"/>
        </w:trPr>
        <w:tc>
          <w:tcPr/>
          <w:p w:rsidR="00000000" w:rsidDel="00000000" w:rsidP="00000000" w:rsidRDefault="00000000" w:rsidRPr="00000000" w14:paraId="00000089">
            <w:pPr>
              <w:spacing w:line="276" w:lineRule="auto"/>
              <w:rPr/>
            </w:pPr>
            <w:r w:rsidDel="00000000" w:rsidR="00000000" w:rsidRPr="00000000">
              <w:rPr>
                <w:rtl w:val="0"/>
              </w:rPr>
              <w:t xml:space="preserve">Формат</w:t>
            </w:r>
          </w:p>
        </w:tc>
        <w:tc>
          <w:tcPr/>
          <w:p w:rsidR="00000000" w:rsidDel="00000000" w:rsidP="00000000" w:rsidRDefault="00000000" w:rsidRPr="00000000" w14:paraId="0000008A">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after="200" w:line="276" w:lineRule="auto"/>
        <w:rPr>
          <w:b w:val="1"/>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Рівненська обласна рада" w:id="3" w:date="2019-10-18T12:48:38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 огляду на запропоновану структуру таблиці не зрозуміло, яким чином повинна вноситись інформація про споживання ресурсу, якщо заклад використовує тверде паливо. Крім того, не враховано, що розташовані у сільській місцевості заклади не мають централізованого постачання комунальних ресурсів. Відтак пропонуємо для кожного закладу вказувати обсяги спожитих ресурсів за певний період.</w:t>
      </w:r>
    </w:p>
  </w:comment>
  <w:comment w:author="Bohdan Tyshkevych" w:id="4" w:date="2019-10-18T12:59:34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для такого випадку має сенс запропонувати структуру, ще однієї таблиці. Наступного тижня додамо її.</w:t>
      </w:r>
    </w:p>
  </w:comment>
  <w:comment w:author="Рівненська обласна рада" w:id="5" w:date="2019-10-22T14:36:50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 не забагато надто деталізованої інформації та різних таблиць для одного набору даних? Це лише ускладнює виконання.  Ще раз пропоную вказувати лише обсяги споживання ресурсів в одній таблиці</w:t>
      </w:r>
    </w:p>
  </w:comment>
  <w:comment w:author="Bohdan Tyshkevych" w:id="6" w:date="2019-11-30T17:13:40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Враховано: у колонці quantity є можливість вказувати обсяг твердого палива.</w:t>
      </w:r>
    </w:p>
  </w:comment>
  <w:comment w:author="Anonymous" w:id="0" w:date="2019-10-11T06:45:36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Питання: в одній таблиці будуть заповнюватися усі види комунальних послуг по одній установі в різних рядках? Чи це будуть окреми таблиці на воду, газ, теплопостачання</w:t>
      </w:r>
    </w:p>
  </w:comment>
  <w:comment w:author="Bohdan Tyshkevych" w:id="1" w:date="2019-10-18T12:55:58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Таблиця дає можливіть вести облік по всіх послугах по одній або декількох установах. Кожне зняття показників незалежно від послуги, лічильника або установи розміщуватиметься в новому рядку таблиці.</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Якщо ви маєте потребу можете використовувати окремі таблиці для різних послуг, однак принцип їх  заповнення не зміниться.</w:t>
      </w:r>
    </w:p>
  </w:comment>
  <w:comment w:author="Alex Graffer" w:id="2" w:date="2019-10-24T10:01:20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Чому б не заповнити таблицю рядком за всіма послугами підприємства за певний період, якщо підприємства надають інформацію, скажімо, щомісячно? До чього така деталізація?</w:t>
      </w:r>
    </w:p>
  </w:comment>
  <w:comment w:author="Alex Graffer" w:id="7" w:date="2019-10-29T07:22:06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Деякі КП розташовані у орендованих приміщеннях та сплачують за послуги орендодавцю згідно умов договору оренди. Деякі орендують лише частку приміщень та мають й показники лічильників, й договори оренди. Яким чином заповнювати таблицю?</w:t>
      </w:r>
    </w:p>
  </w:comment>
  <w:comment w:author="Bohdan Tyshkevych" w:id="8" w:date="2019-11-30T17:06:17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Інформацію мають збирати/надавати балансоутримувачі будівель.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apas-opendata/decreet-835-mun/raw/master/infrastructure/resources/Example.xlsx" TargetMode="External"/><Relationship Id="rId11" Type="http://schemas.openxmlformats.org/officeDocument/2006/relationships/hyperlink" Target="https://zakon.rada.gov.ua/laws/show/2118-19" TargetMode="External"/><Relationship Id="rId22" Type="http://schemas.openxmlformats.org/officeDocument/2006/relationships/hyperlink" Target="https://raw.githubusercontent.com/tapas-opendata/decreet-835-mun/master/infrastructure/resources/Structure.csv" TargetMode="External"/><Relationship Id="rId10" Type="http://schemas.openxmlformats.org/officeDocument/2006/relationships/hyperlink" Target="https://zakon.rada.gov.ua/laws/show/280/97-%D0%B2%D1%80" TargetMode="External"/><Relationship Id="rId21" Type="http://schemas.openxmlformats.org/officeDocument/2006/relationships/hyperlink" Target="https://github.com/tapas-opendata/decreet-835-mun/raw/master/infrastructure/resources/Structure.xlsx" TargetMode="External"/><Relationship Id="rId13" Type="http://schemas.openxmlformats.org/officeDocument/2006/relationships/hyperlink" Target="https://new.bc-rada.gov.ua/miska_rada/normatyvni_akty/309_pro_zatverdzhennia_polozhennia_pro_poriadok_zdiisnennia_monitorynhu_za_faktychnym_spozhyvanniam_enerhonosiiv_biudzhetnykh_ustanov_m_bila_tserkva.html" TargetMode="External"/><Relationship Id="rId24" Type="http://schemas.openxmlformats.org/officeDocument/2006/relationships/hyperlink" Target="https://docs.ckan.org/en/latest/maintaining/datastore.html" TargetMode="External"/><Relationship Id="rId12" Type="http://schemas.openxmlformats.org/officeDocument/2006/relationships/hyperlink" Target="https://mkrada.gov.ua/documents/27565.html" TargetMode="External"/><Relationship Id="rId23" Type="http://schemas.openxmlformats.org/officeDocument/2006/relationships/hyperlink" Target="https://raw.githubusercontent.com/tapas-opendata/decreet-835-mun/master/infrastructure/resources/Structure.js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zakon3.rada.gov.ua/laws/show/74/94-%D0%B2%D1%80" TargetMode="External"/><Relationship Id="rId15" Type="http://schemas.openxmlformats.org/officeDocument/2006/relationships/hyperlink" Target="https://umuni.com/" TargetMode="External"/><Relationship Id="rId14" Type="http://schemas.openxmlformats.org/officeDocument/2006/relationships/hyperlink" Target="https://energomonitoring.com.ua/" TargetMode="External"/><Relationship Id="rId17" Type="http://schemas.openxmlformats.org/officeDocument/2006/relationships/hyperlink" Target="https://github.com/tapas-opendata/decreet-835-mun/raw/master/infrastructure/resources/Resources.xlsx" TargetMode="External"/><Relationship Id="rId16" Type="http://schemas.openxmlformats.org/officeDocument/2006/relationships/hyperlink" Target="http://energyplan.com.ua/" TargetMode="External"/><Relationship Id="rId5" Type="http://schemas.openxmlformats.org/officeDocument/2006/relationships/numbering" Target="numbering.xml"/><Relationship Id="rId19" Type="http://schemas.openxmlformats.org/officeDocument/2006/relationships/hyperlink" Target="https://github.com/tapas-opendata/decreet-835-mun/raw/master/infrastructure/resources/Example.xlsx" TargetMode="External"/><Relationship Id="rId6" Type="http://schemas.openxmlformats.org/officeDocument/2006/relationships/styles" Target="styles.xml"/><Relationship Id="rId18" Type="http://schemas.openxmlformats.org/officeDocument/2006/relationships/hyperlink" Target="https://github.com/tapas-opendata/decreet-835-mun/raw/master/infrastructure/resources/Resources.xlsx" TargetMode="External"/><Relationship Id="rId7" Type="http://schemas.openxmlformats.org/officeDocument/2006/relationships/hyperlink" Target="https://zakon.rada.gov.ua/laws/show/280/97-%D0%B2%D1%80" TargetMode="External"/><Relationship Id="rId8" Type="http://schemas.openxmlformats.org/officeDocument/2006/relationships/hyperlink" Target="https://zakon.rada.gov.ua/laws/show/2118-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