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rPr/>
      </w:pPr>
      <w:bookmarkStart w:colFirst="0" w:colLast="0" w:name="_fqr9lc8u39wo" w:id="0"/>
      <w:bookmarkEnd w:id="0"/>
      <w:r w:rsidDel="00000000" w:rsidR="00000000" w:rsidRPr="00000000">
        <w:rPr>
          <w:rtl w:val="0"/>
        </w:rPr>
        <w:t xml:space="preserve">Дані про тарифи на комунальні послуги</w:t>
      </w:r>
    </w:p>
    <w:p w:rsidR="00000000" w:rsidDel="00000000" w:rsidP="00000000" w:rsidRDefault="00000000" w:rsidRPr="00000000" w14:paraId="00000002">
      <w:pPr>
        <w:pStyle w:val="Heading1"/>
        <w:spacing w:line="276" w:lineRule="auto"/>
        <w:rPr/>
      </w:pPr>
      <w:bookmarkStart w:colFirst="0" w:colLast="0" w:name="_sbh2n629xkic"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76" w:lineRule="auto"/>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b w:val="1"/>
              </w:rPr>
            </w:pPr>
            <w:r w:rsidDel="00000000" w:rsidR="00000000" w:rsidRPr="00000000">
              <w:rPr>
                <w:b w:val="1"/>
                <w:rtl w:val="0"/>
              </w:rPr>
              <w:t xml:space="preserve">Характеристика</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76" w:lineRule="auto"/>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76" w:lineRule="auto"/>
              <w:rPr/>
            </w:pPr>
            <w:hyperlink r:id="rId6">
              <w:r w:rsidDel="00000000" w:rsidR="00000000" w:rsidRPr="00000000">
                <w:rPr>
                  <w:color w:val="1155cc"/>
                  <w:u w:val="single"/>
                  <w:rtl w:val="0"/>
                </w:rPr>
                <w:t xml:space="preserve">Закон України «Про місцеве самоврядування в Україні» від 21.05.1997 № 280/97-ВР</w:t>
              </w:r>
            </w:hyperlink>
            <w:r w:rsidDel="00000000" w:rsidR="00000000" w:rsidRPr="00000000">
              <w:rPr>
                <w:rtl w:val="0"/>
              </w:rPr>
              <w:t xml:space="preserve">, нормативно-правові акти, які визначають порядок формування тарифів (наприклад, </w:t>
            </w:r>
            <w:hyperlink r:id="rId7">
              <w:r w:rsidDel="00000000" w:rsidR="00000000" w:rsidRPr="00000000">
                <w:rPr>
                  <w:color w:val="1155cc"/>
                  <w:u w:val="single"/>
                  <w:rtl w:val="0"/>
                </w:rPr>
                <w:t xml:space="preserve">Постанова Кабінету Міністрів України від 03.04.2019 № 291</w:t>
              </w:r>
            </w:hyperlink>
            <w:r w:rsidDel="00000000" w:rsidR="00000000" w:rsidRPr="00000000">
              <w:rPr>
                <w:rtl w:val="0"/>
              </w:rPr>
              <w:t xml:space="preserve">, </w:t>
            </w:r>
            <w:hyperlink r:id="rId8">
              <w:r w:rsidDel="00000000" w:rsidR="00000000" w:rsidRPr="00000000">
                <w:rPr>
                  <w:color w:val="1155cc"/>
                  <w:u w:val="single"/>
                  <w:rtl w:val="0"/>
                </w:rPr>
                <w:t xml:space="preserve">Наказ Міністерства інфраструктури України від 25.11.2013 № 940</w:t>
              </w:r>
            </w:hyperlink>
            <w:r w:rsidDel="00000000" w:rsidR="00000000" w:rsidRPr="00000000">
              <w:rPr>
                <w:rtl w:val="0"/>
              </w:rPr>
              <w:t xml:space="preserve"> тощо)</w:t>
            </w:r>
            <w:r w:rsidDel="00000000" w:rsidR="00000000" w:rsidRPr="00000000">
              <w:rPr>
                <w:rtl w:val="0"/>
              </w:rPr>
            </w:r>
          </w:p>
        </w:tc>
      </w:tr>
      <w:tr>
        <w:trPr>
          <w:trHeight w:val="1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76" w:lineRule="auto"/>
              <w:rPr/>
            </w:pPr>
            <w:r w:rsidDel="00000000" w:rsidR="00000000" w:rsidRPr="00000000">
              <w:rPr>
                <w:rtl w:val="0"/>
              </w:rPr>
              <w:t xml:space="preserve">Інформація, що створюється, збирається, зберігається </w:t>
            </w:r>
            <w:r w:rsidDel="00000000" w:rsidR="00000000" w:rsidRPr="00000000">
              <w:rPr>
                <w:rtl w:val="0"/>
              </w:rPr>
              <w:t xml:space="preserve">й</w:t>
            </w:r>
            <w:r w:rsidDel="00000000" w:rsidR="00000000" w:rsidRPr="00000000">
              <w:rPr>
                <w:rtl w:val="0"/>
              </w:rPr>
              <w:t xml:space="preserve">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76" w:lineRule="auto"/>
              <w:rPr/>
            </w:pPr>
            <w:r w:rsidDel="00000000" w:rsidR="00000000" w:rsidRPr="00000000">
              <w:rPr>
                <w:rtl w:val="0"/>
              </w:rPr>
              <w:t xml:space="preserve">Відповідно до статті 28 Закону України «Про місцеве самоврядування в Україні», органи місцевого самоврядування встановлюють тарифи на комунальні послуги в порядку, визначеному законодавством.</w:t>
            </w:r>
          </w:p>
        </w:tc>
      </w:tr>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76" w:lineRule="auto"/>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76" w:lineRule="auto"/>
              <w:rPr/>
            </w:pPr>
            <w:r w:rsidDel="00000000" w:rsidR="00000000" w:rsidRPr="00000000">
              <w:rPr>
                <w:rtl w:val="0"/>
              </w:rPr>
              <w:t xml:space="preserve">Встановлення нових тарифів або зміна чинних тарифів, втрата тарифом чинності</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76" w:lineRule="auto"/>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76" w:lineRule="auto"/>
              <w:rPr/>
            </w:pPr>
            <w:r w:rsidDel="00000000" w:rsidR="00000000" w:rsidRPr="00000000">
              <w:rPr>
                <w:rtl w:val="0"/>
              </w:rPr>
              <w:t xml:space="preserve">Позапланово (протягом трьох робочих днів з моменту внесення змін)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76" w:lineRule="auto"/>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rPr/>
            </w:pPr>
            <w:r w:rsidDel="00000000" w:rsidR="00000000" w:rsidRPr="00000000">
              <w:rPr>
                <w:rtl w:val="0"/>
              </w:rPr>
              <w:t xml:space="preserve">XLSX, ODS, CSV, можливі інші формати структурованих даних</w:t>
            </w:r>
          </w:p>
        </w:tc>
      </w:tr>
    </w:tbl>
    <w:p w:rsidR="00000000" w:rsidDel="00000000" w:rsidP="00000000" w:rsidRDefault="00000000" w:rsidRPr="00000000" w14:paraId="00000011">
      <w:pPr>
        <w:pStyle w:val="Heading1"/>
        <w:spacing w:line="276" w:lineRule="auto"/>
        <w:rPr/>
      </w:pPr>
      <w:bookmarkStart w:colFirst="0" w:colLast="0" w:name="_n0xhcvy88pvl"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2">
      <w:pPr>
        <w:spacing w:after="200" w:before="0" w:line="276" w:lineRule="auto"/>
        <w:rPr/>
      </w:pPr>
      <w:r w:rsidDel="00000000" w:rsidR="00000000" w:rsidRPr="00000000">
        <w:rPr>
          <w:rtl w:val="0"/>
        </w:rPr>
        <w:t xml:space="preserve">Відповідно до пункту 2 статті 28 </w:t>
      </w:r>
      <w:hyperlink r:id="rId9">
        <w:r w:rsidDel="00000000" w:rsidR="00000000" w:rsidRPr="00000000">
          <w:rPr>
            <w:color w:val="1155cc"/>
            <w:u w:val="single"/>
            <w:rtl w:val="0"/>
          </w:rPr>
          <w:t xml:space="preserve">Закону України «Про місцеве самоврядування в Україні»</w:t>
        </w:r>
      </w:hyperlink>
      <w:r w:rsidDel="00000000" w:rsidR="00000000" w:rsidRPr="00000000">
        <w:rPr>
          <w:rtl w:val="0"/>
        </w:rPr>
        <w:t xml:space="preserve"> в</w:t>
      </w:r>
      <w:r w:rsidDel="00000000" w:rsidR="00000000" w:rsidRPr="00000000">
        <w:rPr>
          <w:rtl w:val="0"/>
        </w:rPr>
        <w:t xml:space="preserve">иконавчі органи сільських, селищних, міських рад встановлюють тарифи на побутові, комунальні, транспортні та інші послуги в порядку й межах, визначених законодавством. До повноважень районних та обласних рад належить встановлення тарифів на житлово-комунальні послуги, які надаються підприємствами, що перебувають у спільній власності територіальних громад (пункт 37 статті 43).</w:t>
      </w:r>
    </w:p>
    <w:p w:rsidR="00000000" w:rsidDel="00000000" w:rsidP="00000000" w:rsidRDefault="00000000" w:rsidRPr="00000000" w14:paraId="00000013">
      <w:pPr>
        <w:spacing w:after="200" w:before="0" w:line="276" w:lineRule="auto"/>
        <w:rPr/>
      </w:pPr>
      <w:r w:rsidDel="00000000" w:rsidR="00000000" w:rsidRPr="00000000">
        <w:rPr>
          <w:rtl w:val="0"/>
        </w:rPr>
        <w:t xml:space="preserve">Порядок формування кожного тарифу визначається індивідуально. Наприклад, тарифи на теплову енергію, її виробництво й супутні послуги, централізоване водопостачання і водовідведення затверджуються відповідно до </w:t>
      </w:r>
      <w:hyperlink r:id="rId10">
        <w:r w:rsidDel="00000000" w:rsidR="00000000" w:rsidRPr="00000000">
          <w:rPr>
            <w:color w:val="1155cc"/>
            <w:u w:val="single"/>
            <w:rtl w:val="0"/>
          </w:rPr>
          <w:t xml:space="preserve">Постанови Кабінету Міністрів України від 3 квітня 2019 р. № 291</w:t>
        </w:r>
      </w:hyperlink>
      <w:r w:rsidDel="00000000" w:rsidR="00000000" w:rsidRPr="00000000">
        <w:rPr>
          <w:rtl w:val="0"/>
        </w:rPr>
        <w:t xml:space="preserve">, тарифи </w:t>
      </w:r>
      <w:r w:rsidDel="00000000" w:rsidR="00000000" w:rsidRPr="00000000">
        <w:rPr>
          <w:rtl w:val="0"/>
        </w:rPr>
        <w:t xml:space="preserve">послуги міського електричного транспорту — </w:t>
      </w:r>
      <w:hyperlink r:id="rId11">
        <w:r w:rsidDel="00000000" w:rsidR="00000000" w:rsidRPr="00000000">
          <w:rPr>
            <w:color w:val="1155cc"/>
            <w:u w:val="single"/>
            <w:rtl w:val="0"/>
          </w:rPr>
          <w:t xml:space="preserve">Наказу Міністерства інфраструктури України 25.11.2013  № 940</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pStyle w:val="Heading1"/>
        <w:spacing w:after="200" w:lineRule="auto"/>
        <w:rPr/>
      </w:pPr>
      <w:bookmarkStart w:colFirst="0" w:colLast="0" w:name="_rinczx1tlh6z" w:id="3"/>
      <w:bookmarkEnd w:id="3"/>
      <w:r w:rsidDel="00000000" w:rsidR="00000000" w:rsidRPr="00000000">
        <w:rPr>
          <w:rtl w:val="0"/>
        </w:rPr>
        <w:t xml:space="preserve">3. Підготовка даних та структура набору</w:t>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rPr/>
            </w:pPr>
            <w:r w:rsidDel="00000000" w:rsidR="00000000" w:rsidRPr="00000000">
              <w:rPr>
                <w:rtl w:val="0"/>
              </w:rPr>
              <w:t xml:space="preserve">Tariffs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rPr/>
            </w:pPr>
            <w:r w:rsidDel="00000000" w:rsidR="00000000" w:rsidRPr="00000000">
              <w:rPr>
                <w:rtl w:val="0"/>
              </w:rPr>
              <w:t xml:space="preserve">Один тариф</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tl w:val="0"/>
              </w:rPr>
              <w:t xml:space="preserve">Розміщення нової версії ресурсу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rPr/>
            </w:pPr>
            <w:hyperlink r:id="rId12">
              <w:r w:rsidDel="00000000" w:rsidR="00000000" w:rsidRPr="00000000">
                <w:rPr>
                  <w:color w:val="1155cc"/>
                  <w:u w:val="single"/>
                  <w:rtl w:val="0"/>
                </w:rPr>
                <w:t xml:space="preserve">Tariffs.xlsx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rPr/>
            </w:pPr>
            <w:r w:rsidDel="00000000" w:rsidR="00000000" w:rsidRPr="00000000">
              <w:rPr>
                <w:rtl w:val="0"/>
              </w:rPr>
              <w:t xml:space="preserve">Приклад таблиці</w:t>
            </w:r>
            <w:r w:rsidDel="00000000" w:rsidR="00000000" w:rsidRPr="00000000">
              <w:rPr>
                <w:rtl w:val="0"/>
              </w:rPr>
            </w:r>
          </w:p>
          <w:p w:rsidR="00000000" w:rsidDel="00000000" w:rsidP="00000000" w:rsidRDefault="00000000" w:rsidRPr="00000000" w14:paraId="00000022">
            <w:pPr>
              <w:widowControl w:val="0"/>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76" w:lineRule="auto"/>
              <w:rPr/>
            </w:pPr>
            <w:hyperlink r:id="rId13">
              <w:r w:rsidDel="00000000" w:rsidR="00000000" w:rsidRPr="00000000">
                <w:rPr>
                  <w:color w:val="1155cc"/>
                  <w:u w:val="single"/>
                  <w:rtl w:val="0"/>
                </w:rPr>
                <w:t xml:space="preserve">Example</w:t>
              </w:r>
            </w:hyperlink>
            <w:hyperlink r:id="rId14">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76" w:lineRule="auto"/>
              <w:rPr/>
            </w:pPr>
            <w:hyperlink r:id="rId15">
              <w:r w:rsidDel="00000000" w:rsidR="00000000" w:rsidRPr="00000000">
                <w:rPr>
                  <w:color w:val="1155cc"/>
                  <w:u w:val="single"/>
                  <w:rtl w:val="0"/>
                </w:rPr>
                <w:t xml:space="preserve">Structure.xlsx</w:t>
              </w:r>
            </w:hyperlink>
            <w:r w:rsidDel="00000000" w:rsidR="00000000" w:rsidRPr="00000000">
              <w:rPr>
                <w:rtl w:val="0"/>
              </w:rPr>
              <w:t xml:space="preserve">, </w:t>
            </w:r>
            <w:hyperlink r:id="rId16">
              <w:r w:rsidDel="00000000" w:rsidR="00000000" w:rsidRPr="00000000">
                <w:rPr>
                  <w:color w:val="1155cc"/>
                  <w:u w:val="single"/>
                  <w:rtl w:val="0"/>
                </w:rPr>
                <w:t xml:space="preserve">Structure.csv</w:t>
              </w:r>
            </w:hyperlink>
            <w:r w:rsidDel="00000000" w:rsidR="00000000" w:rsidRPr="00000000">
              <w:rPr>
                <w:rtl w:val="0"/>
              </w:rPr>
              <w:t xml:space="preserve">, </w:t>
            </w:r>
            <w:hyperlink r:id="rId17">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26">
      <w:pPr>
        <w:spacing w:line="276" w:lineRule="auto"/>
        <w:jc w:val="both"/>
        <w:rPr/>
      </w:pP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18">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28">
      <w:pPr>
        <w:spacing w:after="200" w:line="276" w:lineRule="auto"/>
        <w:jc w:val="left"/>
        <w:rPr>
          <w:b w:val="1"/>
        </w:rPr>
      </w:pPr>
      <w:r w:rsidDel="00000000" w:rsidR="00000000" w:rsidRPr="00000000">
        <w:rPr>
          <w:rtl w:val="0"/>
        </w:rPr>
      </w:r>
    </w:p>
    <w:p w:rsidR="00000000" w:rsidDel="00000000" w:rsidP="00000000" w:rsidRDefault="00000000" w:rsidRPr="00000000" w14:paraId="00000029">
      <w:pPr>
        <w:spacing w:after="200" w:lineRule="auto"/>
        <w:jc w:val="center"/>
        <w:rPr>
          <w:b w:val="1"/>
        </w:rPr>
      </w:pPr>
      <w:r w:rsidDel="00000000" w:rsidR="00000000" w:rsidRPr="00000000">
        <w:rPr>
          <w:b w:val="1"/>
          <w:rtl w:val="0"/>
        </w:rPr>
        <w:t xml:space="preserve">Таблиця 1 — Структура таблиці (ресурсу) Tariffs</w:t>
      </w:r>
    </w:p>
    <w:tbl>
      <w:tblPr>
        <w:tblStyle w:val="Table4"/>
        <w:tblW w:w="9090.0" w:type="dxa"/>
        <w:jc w:val="left"/>
        <w:tblInd w:w="99.21259842519686"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335"/>
        <w:gridCol w:w="1755"/>
        <w:gridCol w:w="3240"/>
        <w:gridCol w:w="1275"/>
        <w:gridCol w:w="1485"/>
        <w:tblGridChange w:id="0">
          <w:tblGrid>
            <w:gridCol w:w="1335"/>
            <w:gridCol w:w="1755"/>
            <w:gridCol w:w="3240"/>
            <w:gridCol w:w="1275"/>
            <w:gridCol w:w="1485"/>
          </w:tblGrid>
        </w:tblGridChange>
      </w:tblGrid>
      <w:tr>
        <w:trPr>
          <w:trHeight w:val="90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2A">
            <w:pPr>
              <w:spacing w:line="276" w:lineRule="auto"/>
              <w:rPr>
                <w:b w:val="1"/>
              </w:rPr>
            </w:pPr>
            <w:r w:rsidDel="00000000" w:rsidR="00000000" w:rsidRPr="00000000">
              <w:rPr>
                <w:b w:val="1"/>
                <w:rtl w:val="0"/>
              </w:rPr>
              <w:t xml:space="preserve">Назва колонки (name)</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2B">
            <w:pPr>
              <w:spacing w:line="276" w:lineRule="auto"/>
              <w:rPr>
                <w:b w:val="1"/>
              </w:rPr>
            </w:pPr>
            <w:r w:rsidDel="00000000" w:rsidR="00000000" w:rsidRPr="00000000">
              <w:rPr>
                <w:b w:val="1"/>
                <w:rtl w:val="0"/>
              </w:rPr>
              <w:t xml:space="preserve">Заголовок колонки (title)</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2C">
            <w:pPr>
              <w:spacing w:line="276" w:lineRule="auto"/>
              <w:rPr>
                <w:b w:val="1"/>
              </w:rPr>
            </w:pPr>
            <w:r w:rsidDel="00000000" w:rsidR="00000000" w:rsidRPr="00000000">
              <w:rPr>
                <w:b w:val="1"/>
                <w:rtl w:val="0"/>
              </w:rPr>
              <w:t xml:space="preserve">Опис значень (description)</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2D">
            <w:pPr>
              <w:spacing w:line="276" w:lineRule="auto"/>
              <w:rPr>
                <w:b w:val="1"/>
              </w:rPr>
            </w:pPr>
            <w:r w:rsidDel="00000000" w:rsidR="00000000" w:rsidRPr="00000000">
              <w:rPr>
                <w:b w:val="1"/>
                <w:rtl w:val="0"/>
              </w:rPr>
              <w:t xml:space="preserve">Тип даних (datatype)</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2E">
            <w:pPr>
              <w:spacing w:line="276" w:lineRule="auto"/>
              <w:rPr>
                <w:b w:val="1"/>
              </w:rPr>
            </w:pPr>
            <w:r w:rsidDel="00000000" w:rsidR="00000000" w:rsidRPr="00000000">
              <w:rPr>
                <w:b w:val="1"/>
                <w:rtl w:val="0"/>
              </w:rPr>
              <w:t xml:space="preserve">Вимога заповнення (required)</w:t>
            </w:r>
          </w:p>
        </w:tc>
      </w:tr>
      <w:tr>
        <w:trPr>
          <w:trHeight w:val="100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2F">
            <w:pPr>
              <w:spacing w:line="276" w:lineRule="auto"/>
              <w:rPr/>
            </w:pPr>
            <w:r w:rsidDel="00000000" w:rsidR="00000000" w:rsidRPr="00000000">
              <w:rPr>
                <w:rtl w:val="0"/>
              </w:rPr>
              <w:t xml:space="preserve">id</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0">
            <w:pPr>
              <w:spacing w:line="276" w:lineRule="auto"/>
              <w:rPr/>
            </w:pPr>
            <w:r w:rsidDel="00000000" w:rsidR="00000000" w:rsidRPr="00000000">
              <w:rPr>
                <w:rtl w:val="0"/>
              </w:rPr>
              <w:t xml:space="preserve">Ідентифікатор</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1">
            <w:pPr>
              <w:spacing w:line="276" w:lineRule="auto"/>
              <w:rPr/>
            </w:pPr>
            <w:r w:rsidDel="00000000" w:rsidR="00000000" w:rsidRPr="00000000">
              <w:rPr>
                <w:rtl w:val="0"/>
              </w:rPr>
              <w:t xml:space="preserve">Порядковий номер або будь-який інший ідентифікатор тарифу. Наприклад, 5.</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2">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3">
            <w:pPr>
              <w:spacing w:line="276" w:lineRule="auto"/>
              <w:rPr/>
            </w:pPr>
            <w:r w:rsidDel="00000000" w:rsidR="00000000" w:rsidRPr="00000000">
              <w:rPr>
                <w:rtl w:val="0"/>
              </w:rPr>
              <w:t xml:space="preserve">Істина (true)</w:t>
            </w:r>
          </w:p>
        </w:tc>
      </w:tr>
      <w:tr>
        <w:trPr>
          <w:trHeight w:val="86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4">
            <w:pPr>
              <w:spacing w:line="276" w:lineRule="auto"/>
              <w:rPr/>
            </w:pPr>
            <w:r w:rsidDel="00000000" w:rsidR="00000000" w:rsidRPr="00000000">
              <w:rPr>
                <w:rtl w:val="0"/>
              </w:rPr>
              <w:t xml:space="preserve">type</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5">
            <w:pPr>
              <w:spacing w:line="276" w:lineRule="auto"/>
              <w:rPr/>
            </w:pPr>
            <w:r w:rsidDel="00000000" w:rsidR="00000000" w:rsidRPr="00000000">
              <w:rPr>
                <w:rtl w:val="0"/>
              </w:rPr>
              <w:t xml:space="preserve">Вид послуги</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6">
            <w:pPr>
              <w:spacing w:line="276" w:lineRule="auto"/>
              <w:rPr/>
            </w:pPr>
            <w:r w:rsidDel="00000000" w:rsidR="00000000" w:rsidRPr="00000000">
              <w:rPr>
                <w:rtl w:val="0"/>
              </w:rPr>
              <w:t xml:space="preserve">Вид послуги, на яку надається тариф. Наприклад: Централізоване водопостачання.</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7">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8">
            <w:pPr>
              <w:spacing w:line="276" w:lineRule="auto"/>
              <w:rPr/>
            </w:pPr>
            <w:r w:rsidDel="00000000" w:rsidR="00000000" w:rsidRPr="00000000">
              <w:rPr>
                <w:rtl w:val="0"/>
              </w:rPr>
              <w:t xml:space="preserve">Істина (true)</w:t>
            </w:r>
          </w:p>
        </w:tc>
      </w:tr>
      <w:tr>
        <w:trPr>
          <w:trHeight w:val="86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9">
            <w:pPr>
              <w:spacing w:line="276" w:lineRule="auto"/>
              <w:rPr/>
            </w:pPr>
            <w:r w:rsidDel="00000000" w:rsidR="00000000" w:rsidRPr="00000000">
              <w:rPr>
                <w:rtl w:val="0"/>
              </w:rPr>
              <w:t xml:space="preserve">consumers</w:t>
            </w:r>
            <w:r w:rsidDel="00000000" w:rsidR="00000000" w:rsidRPr="00000000">
              <w:rPr>
                <w:rtl w:val="0"/>
              </w:rPr>
              <w:t xml:space="preserve">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A">
            <w:pPr>
              <w:spacing w:line="276" w:lineRule="auto"/>
              <w:rPr/>
            </w:pPr>
            <w:r w:rsidDel="00000000" w:rsidR="00000000" w:rsidRPr="00000000">
              <w:rPr>
                <w:rtl w:val="0"/>
              </w:rPr>
              <w:t xml:space="preserve">Категорія користувачів</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B">
            <w:pPr>
              <w:spacing w:line="276" w:lineRule="auto"/>
              <w:rPr/>
            </w:pPr>
            <w:r w:rsidDel="00000000" w:rsidR="00000000" w:rsidRPr="00000000">
              <w:rPr>
                <w:rtl w:val="0"/>
              </w:rPr>
              <w:t xml:space="preserve">Категорія користувачів, для якої діє тариф (фізичні особи, юридичні особи або будь-які інші категорії, визначені нормативно-правовими  актами). Наприклад, фізичні особи. Якщо тариф діє незалежно від категорії, вказати null.</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C">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D">
            <w:pPr>
              <w:rPr/>
            </w:pPr>
            <w:r w:rsidDel="00000000" w:rsidR="00000000" w:rsidRPr="00000000">
              <w:rPr>
                <w:rtl w:val="0"/>
              </w:rPr>
              <w:t xml:space="preserve">Хибність (false)</w:t>
            </w:r>
          </w:p>
        </w:tc>
      </w:tr>
      <w:tr>
        <w:trPr>
          <w:trHeight w:val="86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E">
            <w:pPr>
              <w:spacing w:line="276" w:lineRule="auto"/>
              <w:rPr/>
            </w:pPr>
            <w:r w:rsidDel="00000000" w:rsidR="00000000" w:rsidRPr="00000000">
              <w:rPr>
                <w:rtl w:val="0"/>
              </w:rPr>
              <w:t xml:space="preserve">unitValueAmount</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3F">
            <w:pPr>
              <w:spacing w:line="276" w:lineRule="auto"/>
              <w:rPr/>
            </w:pPr>
            <w:r w:rsidDel="00000000" w:rsidR="00000000" w:rsidRPr="00000000">
              <w:rPr>
                <w:rtl w:val="0"/>
              </w:rPr>
              <w:t xml:space="preserve">Вартість</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0">
            <w:pPr>
              <w:spacing w:line="276" w:lineRule="auto"/>
              <w:rPr/>
            </w:pPr>
            <w:r w:rsidDel="00000000" w:rsidR="00000000" w:rsidRPr="00000000">
              <w:rPr>
                <w:rtl w:val="0"/>
              </w:rPr>
              <w:t xml:space="preserve">Вартість за одиницю у гривнях з ПДВ (лише число). Наприклад, 100.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Наприклад: 5,50. Потрібно дотримуватися одного розділювача для всієї таблиці. Якщо послуга надається безкоштовно, вказати 0.</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1">
            <w:pPr>
              <w:spacing w:line="276" w:lineRule="auto"/>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2">
            <w:pPr>
              <w:spacing w:line="276" w:lineRule="auto"/>
              <w:rPr/>
            </w:pPr>
            <w:r w:rsidDel="00000000" w:rsidR="00000000" w:rsidRPr="00000000">
              <w:rPr>
                <w:rtl w:val="0"/>
              </w:rPr>
              <w:t xml:space="preserve">Істина (true)</w:t>
            </w:r>
          </w:p>
        </w:tc>
      </w:tr>
      <w:tr>
        <w:trPr>
          <w:trHeight w:val="86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3">
            <w:pPr>
              <w:spacing w:line="276" w:lineRule="auto"/>
              <w:rPr/>
            </w:pPr>
            <w:r w:rsidDel="00000000" w:rsidR="00000000" w:rsidRPr="00000000">
              <w:rPr>
                <w:rtl w:val="0"/>
              </w:rPr>
              <w:t xml:space="preserve">unitName</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4">
            <w:pPr>
              <w:spacing w:line="276" w:lineRule="auto"/>
              <w:rPr/>
            </w:pPr>
            <w:r w:rsidDel="00000000" w:rsidR="00000000" w:rsidRPr="00000000">
              <w:rPr>
                <w:rtl w:val="0"/>
              </w:rPr>
              <w:t xml:space="preserve">Назва одиниці виміру</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5">
            <w:pPr>
              <w:spacing w:line="276" w:lineRule="auto"/>
              <w:rPr/>
            </w:pPr>
            <w:r w:rsidDel="00000000" w:rsidR="00000000" w:rsidRPr="00000000">
              <w:rPr>
                <w:rtl w:val="0"/>
              </w:rPr>
              <w:t xml:space="preserve">Назва одиниці виміру. Наприклад, куб. м.</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6">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7">
            <w:pPr>
              <w:spacing w:line="276" w:lineRule="auto"/>
              <w:rPr/>
            </w:pPr>
            <w:r w:rsidDel="00000000" w:rsidR="00000000" w:rsidRPr="00000000">
              <w:rPr>
                <w:rtl w:val="0"/>
              </w:rPr>
              <w:t xml:space="preserve">Істина (true)</w:t>
            </w:r>
          </w:p>
        </w:tc>
      </w:tr>
      <w:tr>
        <w:trPr>
          <w:trHeight w:val="86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8">
            <w:pPr>
              <w:spacing w:line="276" w:lineRule="auto"/>
              <w:rPr/>
            </w:pPr>
            <w:r w:rsidDel="00000000" w:rsidR="00000000" w:rsidRPr="00000000">
              <w:rPr>
                <w:rtl w:val="0"/>
              </w:rPr>
              <w:t xml:space="preserve">status</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9">
            <w:pPr>
              <w:spacing w:line="276" w:lineRule="auto"/>
              <w:rPr/>
            </w:pPr>
            <w:r w:rsidDel="00000000" w:rsidR="00000000" w:rsidRPr="00000000">
              <w:rPr>
                <w:rtl w:val="0"/>
              </w:rPr>
              <w:t xml:space="preserve">Статус тарифу</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A">
            <w:pPr>
              <w:spacing w:line="276" w:lineRule="auto"/>
              <w:rPr/>
            </w:pPr>
            <w:r w:rsidDel="00000000" w:rsidR="00000000" w:rsidRPr="00000000">
              <w:rPr>
                <w:rtl w:val="0"/>
              </w:rPr>
              <w:t xml:space="preserve">Статус тарифу: Чинний, Втратив чинність, Скасований, Чинність відновлена. Наприклад, Чинний.</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B">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C">
            <w:pPr>
              <w:spacing w:line="276" w:lineRule="auto"/>
              <w:rPr/>
            </w:pPr>
            <w:r w:rsidDel="00000000" w:rsidR="00000000" w:rsidRPr="00000000">
              <w:rPr>
                <w:rtl w:val="0"/>
              </w:rPr>
              <w:t xml:space="preserve">Істина (true)</w:t>
            </w:r>
          </w:p>
        </w:tc>
      </w:tr>
      <w:tr>
        <w:trPr>
          <w:trHeight w:val="86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D">
            <w:pPr>
              <w:spacing w:line="276" w:lineRule="auto"/>
              <w:rPr/>
            </w:pPr>
            <w:r w:rsidDel="00000000" w:rsidR="00000000" w:rsidRPr="00000000">
              <w:rPr>
                <w:rtl w:val="0"/>
              </w:rPr>
              <w:t xml:space="preserve">providerName</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E">
            <w:pPr>
              <w:spacing w:line="276" w:lineRule="auto"/>
              <w:rPr/>
            </w:pPr>
            <w:r w:rsidDel="00000000" w:rsidR="00000000" w:rsidRPr="00000000">
              <w:rPr>
                <w:rtl w:val="0"/>
              </w:rPr>
              <w:t xml:space="preserve">Назва постачальника </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4F">
            <w:pPr>
              <w:spacing w:line="276" w:lineRule="auto"/>
              <w:rPr/>
            </w:pPr>
            <w:r w:rsidDel="00000000" w:rsidR="00000000" w:rsidRPr="00000000">
              <w:rPr>
                <w:rtl w:val="0"/>
              </w:rPr>
              <w:t xml:space="preserve">Якщо тариф визначається індивідуально для певних суб’єктів господарювання, зазначається інформація про постачальника. В іншому випадку, необхідно вказати null. Повна назва постачальника. Наприклад: АТ «ТеплоВодоПостачання».</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0">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1">
            <w:pPr>
              <w:spacing w:line="276" w:lineRule="auto"/>
              <w:rPr/>
            </w:pPr>
            <w:r w:rsidDel="00000000" w:rsidR="00000000" w:rsidRPr="00000000">
              <w:rPr>
                <w:rtl w:val="0"/>
              </w:rPr>
              <w:t xml:space="preserve">Хибність (false)</w:t>
            </w:r>
          </w:p>
        </w:tc>
      </w:tr>
      <w:tr>
        <w:trPr>
          <w:trHeight w:val="110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2">
            <w:pPr>
              <w:spacing w:line="276" w:lineRule="auto"/>
              <w:rPr/>
            </w:pPr>
            <w:r w:rsidDel="00000000" w:rsidR="00000000" w:rsidRPr="00000000">
              <w:rPr>
                <w:rtl w:val="0"/>
              </w:rPr>
              <w:t xml:space="preserve">providerI</w:t>
            </w:r>
            <w:r w:rsidDel="00000000" w:rsidR="00000000" w:rsidRPr="00000000">
              <w:rPr>
                <w:rtl w:val="0"/>
              </w:rPr>
              <w:t xml:space="preserve">D</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3">
            <w:pPr>
              <w:spacing w:line="276" w:lineRule="auto"/>
              <w:rPr/>
            </w:pPr>
            <w:r w:rsidDel="00000000" w:rsidR="00000000" w:rsidRPr="00000000">
              <w:rPr>
                <w:rtl w:val="0"/>
              </w:rPr>
              <w:t xml:space="preserve">Ідентифікатор постачальника</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4">
            <w:pPr>
              <w:spacing w:line="276" w:lineRule="auto"/>
              <w:rPr/>
            </w:pPr>
            <w:r w:rsidDel="00000000" w:rsidR="00000000" w:rsidRPr="00000000">
              <w:rPr>
                <w:rtl w:val="0"/>
              </w:rPr>
              <w:t xml:space="preserve">Код ЄДРПОУ постачальника  послуг. Наприклад: 01234567. Якщо тариф діє для всіх постачальників, вказати null.</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5">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6">
            <w:pPr>
              <w:spacing w:line="276" w:lineRule="auto"/>
              <w:rPr/>
            </w:pPr>
            <w:r w:rsidDel="00000000" w:rsidR="00000000" w:rsidRPr="00000000">
              <w:rPr>
                <w:rtl w:val="0"/>
              </w:rPr>
              <w:t xml:space="preserve">Хибність (false)</w:t>
            </w:r>
          </w:p>
        </w:tc>
      </w:tr>
      <w:tr>
        <w:trPr>
          <w:trHeight w:val="86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7">
            <w:pPr>
              <w:spacing w:line="276" w:lineRule="auto"/>
              <w:rPr/>
            </w:pPr>
            <w:r w:rsidDel="00000000" w:rsidR="00000000" w:rsidRPr="00000000">
              <w:rPr>
                <w:rtl w:val="0"/>
              </w:rPr>
              <w:t xml:space="preserve">validFrom</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8">
            <w:pPr>
              <w:spacing w:line="276" w:lineRule="auto"/>
              <w:rPr/>
            </w:pPr>
            <w:r w:rsidDel="00000000" w:rsidR="00000000" w:rsidRPr="00000000">
              <w:rPr>
                <w:rtl w:val="0"/>
              </w:rPr>
              <w:t xml:space="preserve">Дійсний з</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9">
            <w:pPr>
              <w:spacing w:line="276" w:lineRule="auto"/>
              <w:rPr/>
            </w:pPr>
            <w:r w:rsidDel="00000000" w:rsidR="00000000" w:rsidRPr="00000000">
              <w:rPr>
                <w:rtl w:val="0"/>
              </w:rPr>
              <w:t xml:space="preserve">Дата, з якої дійсний тариф, у форматі ISO 8601 (</w:t>
            </w:r>
            <w:r w:rsidDel="00000000" w:rsidR="00000000" w:rsidRPr="00000000">
              <w:rPr>
                <w:rtl w:val="0"/>
              </w:rPr>
              <w:t xml:space="preserve">рррр</w:t>
            </w:r>
            <w:r w:rsidDel="00000000" w:rsidR="00000000" w:rsidRPr="00000000">
              <w:rPr>
                <w:rtl w:val="0"/>
              </w:rPr>
              <w:t xml:space="preserve">-мм-дд). Наприклад: 2010-11-14.</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A">
            <w:pPr>
              <w:spacing w:line="276" w:lineRule="auto"/>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B">
            <w:pPr>
              <w:spacing w:line="276" w:lineRule="auto"/>
              <w:rPr/>
            </w:pPr>
            <w:r w:rsidDel="00000000" w:rsidR="00000000" w:rsidRPr="00000000">
              <w:rPr>
                <w:rtl w:val="0"/>
              </w:rPr>
              <w:t xml:space="preserve">Істина (true)</w:t>
            </w:r>
          </w:p>
        </w:tc>
      </w:tr>
      <w:tr>
        <w:trPr>
          <w:trHeight w:val="114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C">
            <w:pPr>
              <w:spacing w:line="276" w:lineRule="auto"/>
              <w:rPr/>
            </w:pPr>
            <w:r w:rsidDel="00000000" w:rsidR="00000000" w:rsidRPr="00000000">
              <w:rPr>
                <w:rtl w:val="0"/>
              </w:rPr>
              <w:t xml:space="preserve">validThrough</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D">
            <w:pPr>
              <w:spacing w:line="276" w:lineRule="auto"/>
              <w:rPr/>
            </w:pPr>
            <w:r w:rsidDel="00000000" w:rsidR="00000000" w:rsidRPr="00000000">
              <w:rPr>
                <w:rtl w:val="0"/>
              </w:rPr>
              <w:t xml:space="preserve">Дійсний до</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E">
            <w:pPr>
              <w:spacing w:line="276" w:lineRule="auto"/>
              <w:rPr/>
            </w:pPr>
            <w:r w:rsidDel="00000000" w:rsidR="00000000" w:rsidRPr="00000000">
              <w:rPr>
                <w:rtl w:val="0"/>
              </w:rPr>
              <w:t xml:space="preserve">Дата, до якої дійсний тариф, у форматі ISO 8601 (</w:t>
            </w:r>
            <w:r w:rsidDel="00000000" w:rsidR="00000000" w:rsidRPr="00000000">
              <w:rPr>
                <w:rtl w:val="0"/>
              </w:rPr>
              <w:t xml:space="preserve">рррр</w:t>
            </w:r>
            <w:r w:rsidDel="00000000" w:rsidR="00000000" w:rsidRPr="00000000">
              <w:rPr>
                <w:rtl w:val="0"/>
              </w:rPr>
              <w:t xml:space="preserve">-мм-дд). Наприклад: 2030-11-14. Якщо дата не встановлена, вказати null.</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F">
            <w:pPr>
              <w:spacing w:line="276" w:lineRule="auto"/>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0">
            <w:pPr>
              <w:spacing w:line="276" w:lineRule="auto"/>
              <w:rPr/>
            </w:pPr>
            <w:r w:rsidDel="00000000" w:rsidR="00000000" w:rsidRPr="00000000">
              <w:rPr>
                <w:rtl w:val="0"/>
              </w:rPr>
              <w:t xml:space="preserve">Хибність (false)</w:t>
            </w:r>
          </w:p>
        </w:tc>
      </w:tr>
      <w:tr>
        <w:trPr>
          <w:trHeight w:val="86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1">
            <w:pPr>
              <w:spacing w:line="276" w:lineRule="auto"/>
              <w:rPr/>
            </w:pPr>
            <w:r w:rsidDel="00000000" w:rsidR="00000000" w:rsidRPr="00000000">
              <w:rPr>
                <w:rtl w:val="0"/>
              </w:rPr>
              <w:t xml:space="preserve">legalActType</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2">
            <w:pPr>
              <w:spacing w:line="276" w:lineRule="auto"/>
              <w:rPr/>
            </w:pPr>
            <w:r w:rsidDel="00000000" w:rsidR="00000000" w:rsidRPr="00000000">
              <w:rPr>
                <w:rtl w:val="0"/>
              </w:rPr>
              <w:t xml:space="preserve">Вид НПА</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3">
            <w:pPr>
              <w:spacing w:line="276" w:lineRule="auto"/>
              <w:rPr/>
            </w:pPr>
            <w:r w:rsidDel="00000000" w:rsidR="00000000" w:rsidRPr="00000000">
              <w:rPr>
                <w:rtl w:val="0"/>
              </w:rPr>
              <w:t xml:space="preserve">Вид нормативно-правового акта (НПА), яким затверджено тариф. Наприклад: Рішення.</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4">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5">
            <w:pPr>
              <w:spacing w:line="276" w:lineRule="auto"/>
              <w:rPr/>
            </w:pPr>
            <w:r w:rsidDel="00000000" w:rsidR="00000000" w:rsidRPr="00000000">
              <w:rPr>
                <w:rtl w:val="0"/>
              </w:rPr>
              <w:t xml:space="preserve">Істина (true)</w:t>
            </w:r>
          </w:p>
        </w:tc>
      </w:tr>
      <w:tr>
        <w:trPr>
          <w:trHeight w:val="114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6">
            <w:pPr>
              <w:spacing w:line="276" w:lineRule="auto"/>
              <w:rPr/>
            </w:pPr>
            <w:r w:rsidDel="00000000" w:rsidR="00000000" w:rsidRPr="00000000">
              <w:rPr>
                <w:rtl w:val="0"/>
              </w:rPr>
              <w:t xml:space="preserve">legalActTitle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7">
            <w:pPr>
              <w:spacing w:line="276" w:lineRule="auto"/>
              <w:rPr/>
            </w:pPr>
            <w:r w:rsidDel="00000000" w:rsidR="00000000" w:rsidRPr="00000000">
              <w:rPr>
                <w:rtl w:val="0"/>
              </w:rPr>
              <w:t xml:space="preserve">Назва НПА</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8">
            <w:pPr>
              <w:spacing w:line="276" w:lineRule="auto"/>
              <w:rPr/>
            </w:pPr>
            <w:r w:rsidDel="00000000" w:rsidR="00000000" w:rsidRPr="00000000">
              <w:rPr>
                <w:rtl w:val="0"/>
              </w:rPr>
              <w:t xml:space="preserve">Назва нормативно-правового акта. Наприклад: Про затвердження тарифів на централізоване водопостачання.</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9">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A">
            <w:pPr>
              <w:spacing w:line="276" w:lineRule="auto"/>
              <w:rPr/>
            </w:pPr>
            <w:r w:rsidDel="00000000" w:rsidR="00000000" w:rsidRPr="00000000">
              <w:rPr>
                <w:rtl w:val="0"/>
              </w:rPr>
              <w:t xml:space="preserve">Істина (true)</w:t>
            </w:r>
          </w:p>
        </w:tc>
      </w:tr>
      <w:tr>
        <w:trPr>
          <w:trHeight w:val="114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B">
            <w:pPr>
              <w:spacing w:line="276" w:lineRule="auto"/>
              <w:rPr/>
            </w:pPr>
            <w:r w:rsidDel="00000000" w:rsidR="00000000" w:rsidRPr="00000000">
              <w:rPr>
                <w:rtl w:val="0"/>
              </w:rPr>
              <w:t xml:space="preserve">legalAct</w:t>
            </w:r>
            <w:r w:rsidDel="00000000" w:rsidR="00000000" w:rsidRPr="00000000">
              <w:rPr>
                <w:rtl w:val="0"/>
              </w:rPr>
              <w:t xml:space="preserve">Issued</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C">
            <w:pPr>
              <w:spacing w:line="276" w:lineRule="auto"/>
              <w:rPr/>
            </w:pPr>
            <w:r w:rsidDel="00000000" w:rsidR="00000000" w:rsidRPr="00000000">
              <w:rPr>
                <w:rtl w:val="0"/>
              </w:rPr>
              <w:t xml:space="preserve">Дата НПА</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D">
            <w:pPr>
              <w:spacing w:line="276" w:lineRule="auto"/>
              <w:rPr/>
            </w:pPr>
            <w:r w:rsidDel="00000000" w:rsidR="00000000" w:rsidRPr="00000000">
              <w:rPr>
                <w:rtl w:val="0"/>
              </w:rPr>
              <w:t xml:space="preserve">Дата ухвалення нормативно-правового акта у форматі ISO 8601 (рррр-мм-дд). Наприклад: 2018-07-06.</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E">
            <w:pPr>
              <w:spacing w:line="276" w:lineRule="auto"/>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F">
            <w:pPr>
              <w:spacing w:line="276" w:lineRule="auto"/>
              <w:rPr/>
            </w:pPr>
            <w:r w:rsidDel="00000000" w:rsidR="00000000" w:rsidRPr="00000000">
              <w:rPr>
                <w:rtl w:val="0"/>
              </w:rPr>
              <w:t xml:space="preserve">Істина (true)</w:t>
            </w:r>
          </w:p>
        </w:tc>
      </w:tr>
      <w:tr>
        <w:trPr>
          <w:trHeight w:val="86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70">
            <w:pPr>
              <w:spacing w:line="276" w:lineRule="auto"/>
              <w:rPr/>
            </w:pPr>
            <w:r w:rsidDel="00000000" w:rsidR="00000000" w:rsidRPr="00000000">
              <w:rPr>
                <w:rtl w:val="0"/>
              </w:rPr>
              <w:t xml:space="preserve">legalActNumber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71">
            <w:pPr>
              <w:spacing w:line="276" w:lineRule="auto"/>
              <w:rPr/>
            </w:pPr>
            <w:r w:rsidDel="00000000" w:rsidR="00000000" w:rsidRPr="00000000">
              <w:rPr>
                <w:rtl w:val="0"/>
              </w:rPr>
              <w:t xml:space="preserve">Номер НПА</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72">
            <w:pPr>
              <w:spacing w:line="276" w:lineRule="auto"/>
              <w:rPr/>
            </w:pPr>
            <w:r w:rsidDel="00000000" w:rsidR="00000000" w:rsidRPr="00000000">
              <w:rPr>
                <w:rtl w:val="0"/>
              </w:rPr>
              <w:t xml:space="preserve">Номер нормативно-правового акта. Наприклад: 1234-р.</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73">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74">
            <w:pPr>
              <w:rPr/>
            </w:pPr>
            <w:r w:rsidDel="00000000" w:rsidR="00000000" w:rsidRPr="00000000">
              <w:rPr>
                <w:rtl w:val="0"/>
              </w:rPr>
              <w:t xml:space="preserve">Істина (true)</w:t>
            </w:r>
          </w:p>
        </w:tc>
      </w:tr>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legalAct</w:t>
            </w:r>
            <w:r w:rsidDel="00000000" w:rsidR="00000000" w:rsidRPr="00000000">
              <w:rPr>
                <w:rtl w:val="0"/>
              </w:rPr>
              <w:t xml:space="preserve">URL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6">
            <w:pPr>
              <w:rPr/>
            </w:pPr>
            <w:r w:rsidDel="00000000" w:rsidR="00000000" w:rsidRPr="00000000">
              <w:rPr>
                <w:rtl w:val="0"/>
              </w:rPr>
              <w:t xml:space="preserve">Посилання на НПА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7">
            <w:pPr>
              <w:rPr/>
            </w:pPr>
            <w:r w:rsidDel="00000000" w:rsidR="00000000" w:rsidRPr="00000000">
              <w:rPr>
                <w:rtl w:val="0"/>
              </w:rPr>
              <w:t xml:space="preserve">Посилання на розпорядчий документ, що оприлюднений в мережі Інтернет. Посилання має починатися з http:// або https://. Наприклад: https://www.example.gov.ua/example.doc.</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8">
            <w:pPr>
              <w:widowControl w:val="0"/>
              <w:rPr/>
            </w:pPr>
            <w:r w:rsidDel="00000000" w:rsidR="00000000" w:rsidRPr="00000000">
              <w:rPr>
                <w:rtl w:val="0"/>
              </w:rPr>
              <w:t xml:space="preserve">Посилання (anyURI)</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9">
            <w:pPr>
              <w:widowControl w:val="0"/>
              <w:rPr/>
            </w:pPr>
            <w:r w:rsidDel="00000000" w:rsidR="00000000" w:rsidRPr="00000000">
              <w:rPr>
                <w:rtl w:val="0"/>
              </w:rPr>
              <w:t xml:space="preserve">Істина (true)</w:t>
            </w:r>
          </w:p>
        </w:tc>
      </w:tr>
      <w:tr>
        <w:trPr>
          <w:trHeight w:val="114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7A">
            <w:pPr>
              <w:spacing w:line="276" w:lineRule="auto"/>
              <w:rPr/>
            </w:pPr>
            <w:r w:rsidDel="00000000" w:rsidR="00000000" w:rsidRPr="00000000">
              <w:rPr>
                <w:rtl w:val="0"/>
              </w:rPr>
              <w:t xml:space="preserve">publisherName</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7B">
            <w:pPr>
              <w:spacing w:line="276" w:lineRule="auto"/>
              <w:rPr/>
            </w:pPr>
            <w:r w:rsidDel="00000000" w:rsidR="00000000" w:rsidRPr="00000000">
              <w:rPr>
                <w:rtl w:val="0"/>
              </w:rPr>
              <w:t xml:space="preserve">Назва видавника НПА</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7C">
            <w:pPr>
              <w:spacing w:line="276" w:lineRule="auto"/>
              <w:rPr/>
            </w:pPr>
            <w:r w:rsidDel="00000000" w:rsidR="00000000" w:rsidRPr="00000000">
              <w:rPr>
                <w:rtl w:val="0"/>
              </w:rPr>
              <w:t xml:space="preserve">Повна назва видавника НПА. Наприклад: Виконавчий комітет Тернопільської міської ради.</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7D">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7E">
            <w:pPr>
              <w:spacing w:line="276" w:lineRule="auto"/>
              <w:rPr/>
            </w:pPr>
            <w:r w:rsidDel="00000000" w:rsidR="00000000" w:rsidRPr="00000000">
              <w:rPr>
                <w:rtl w:val="0"/>
              </w:rPr>
              <w:t xml:space="preserve">Істина (true)</w:t>
            </w:r>
          </w:p>
        </w:tc>
      </w:tr>
      <w:tr>
        <w:trPr>
          <w:trHeight w:val="114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7F">
            <w:pPr>
              <w:spacing w:line="276" w:lineRule="auto"/>
              <w:rPr/>
            </w:pPr>
            <w:r w:rsidDel="00000000" w:rsidR="00000000" w:rsidRPr="00000000">
              <w:rPr>
                <w:rtl w:val="0"/>
              </w:rPr>
              <w:t xml:space="preserve">publisherI</w:t>
            </w:r>
            <w:r w:rsidDel="00000000" w:rsidR="00000000" w:rsidRPr="00000000">
              <w:rPr>
                <w:rtl w:val="0"/>
              </w:rPr>
              <w:t xml:space="preserve">D</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80">
            <w:pPr>
              <w:spacing w:line="276" w:lineRule="auto"/>
              <w:rPr/>
            </w:pPr>
            <w:r w:rsidDel="00000000" w:rsidR="00000000" w:rsidRPr="00000000">
              <w:rPr>
                <w:rtl w:val="0"/>
              </w:rPr>
              <w:t xml:space="preserve">Ідентифікатор видавника НПА</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81">
            <w:pPr>
              <w:spacing w:line="276" w:lineRule="auto"/>
              <w:rPr/>
            </w:pPr>
            <w:r w:rsidDel="00000000" w:rsidR="00000000" w:rsidRPr="00000000">
              <w:rPr>
                <w:rtl w:val="0"/>
              </w:rPr>
              <w:t xml:space="preserve">Код ЄДРПОУ видавника НПА. Наприклад: 01234567.</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82">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83">
            <w:pPr>
              <w:rPr/>
            </w:pPr>
            <w:r w:rsidDel="00000000" w:rsidR="00000000" w:rsidRPr="00000000">
              <w:rPr>
                <w:rtl w:val="0"/>
              </w:rPr>
              <w:t xml:space="preserve">Істина (true)</w:t>
            </w:r>
          </w:p>
        </w:tc>
      </w:tr>
    </w:tbl>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pStyle w:val="Heading1"/>
        <w:spacing w:line="276" w:lineRule="auto"/>
        <w:rPr/>
      </w:pPr>
      <w:bookmarkStart w:colFirst="0" w:colLast="0" w:name="_ay4hfjxzl714" w:id="4"/>
      <w:bookmarkEnd w:id="4"/>
      <w:r w:rsidDel="00000000" w:rsidR="00000000" w:rsidRPr="00000000">
        <w:rPr>
          <w:rtl w:val="0"/>
        </w:rPr>
        <w:t xml:space="preserve">4. Оформлення паспортів наборів та ресурсів</w:t>
      </w:r>
    </w:p>
    <w:tbl>
      <w:tblPr>
        <w:tblStyle w:val="Table5"/>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6">
            <w:pPr>
              <w:spacing w:line="276" w:lineRule="auto"/>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p>
        </w:tc>
      </w:tr>
    </w:tbl>
    <w:p w:rsidR="00000000" w:rsidDel="00000000" w:rsidP="00000000" w:rsidRDefault="00000000" w:rsidRPr="00000000" w14:paraId="00000087">
      <w:pPr>
        <w:spacing w:after="200" w:line="276" w:lineRule="auto"/>
        <w:jc w:val="center"/>
        <w:rPr/>
      </w:pPr>
      <w:r w:rsidDel="00000000" w:rsidR="00000000" w:rsidRPr="00000000">
        <w:rPr>
          <w:rtl w:val="0"/>
        </w:rPr>
      </w:r>
    </w:p>
    <w:p w:rsidR="00000000" w:rsidDel="00000000" w:rsidP="00000000" w:rsidRDefault="00000000" w:rsidRPr="00000000" w14:paraId="00000088">
      <w:pPr>
        <w:spacing w:after="200" w:line="276" w:lineRule="auto"/>
        <w:jc w:val="center"/>
        <w:rPr>
          <w:b w:val="1"/>
        </w:rPr>
      </w:pPr>
      <w:r w:rsidDel="00000000" w:rsidR="00000000" w:rsidRPr="00000000">
        <w:rPr>
          <w:b w:val="1"/>
          <w:rtl w:val="0"/>
        </w:rPr>
        <w:t xml:space="preserve">Таблиця 2</w:t>
      </w:r>
      <w:r w:rsidDel="00000000" w:rsidR="00000000" w:rsidRPr="00000000">
        <w:rPr>
          <w:b w:val="1"/>
          <w:rtl w:val="0"/>
        </w:rPr>
        <w:t xml:space="preserve"> — Приклад паспорта набору даних на data.gov.ua</w:t>
      </w:r>
    </w:p>
    <w:tbl>
      <w:tblPr>
        <w:tblStyle w:val="Table6"/>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089">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08A">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8B">
            <w:pPr>
              <w:spacing w:line="276" w:lineRule="auto"/>
              <w:rPr/>
            </w:pPr>
            <w:r w:rsidDel="00000000" w:rsidR="00000000" w:rsidRPr="00000000">
              <w:rPr>
                <w:rtl w:val="0"/>
              </w:rPr>
              <w:t xml:space="preserve">Назва набору</w:t>
            </w:r>
          </w:p>
        </w:tc>
        <w:tc>
          <w:tcPr/>
          <w:p w:rsidR="00000000" w:rsidDel="00000000" w:rsidP="00000000" w:rsidRDefault="00000000" w:rsidRPr="00000000" w14:paraId="0000008C">
            <w:pPr>
              <w:widowControl w:val="0"/>
              <w:spacing w:line="276" w:lineRule="auto"/>
              <w:rPr/>
            </w:pPr>
            <w:r w:rsidDel="00000000" w:rsidR="00000000" w:rsidRPr="00000000">
              <w:rPr>
                <w:rtl w:val="0"/>
              </w:rPr>
              <w:t xml:space="preserve">Інформація про тарифи на комунальні послуги</w:t>
            </w:r>
          </w:p>
        </w:tc>
      </w:tr>
      <w:tr>
        <w:trPr>
          <w:trHeight w:val="20" w:hRule="atLeast"/>
        </w:trPr>
        <w:tc>
          <w:tcPr/>
          <w:p w:rsidR="00000000" w:rsidDel="00000000" w:rsidP="00000000" w:rsidRDefault="00000000" w:rsidRPr="00000000" w14:paraId="0000008D">
            <w:pPr>
              <w:spacing w:line="276" w:lineRule="auto"/>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08E">
            <w:pPr>
              <w:widowControl w:val="0"/>
              <w:spacing w:line="276" w:lineRule="auto"/>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08F">
            <w:pPr>
              <w:spacing w:line="276" w:lineRule="auto"/>
              <w:rPr/>
            </w:pPr>
            <w:r w:rsidDel="00000000" w:rsidR="00000000" w:rsidRPr="00000000">
              <w:rPr>
                <w:rtl w:val="0"/>
              </w:rPr>
              <w:t xml:space="preserve">Частота оновлення</w:t>
            </w:r>
          </w:p>
        </w:tc>
        <w:tc>
          <w:tcPr/>
          <w:p w:rsidR="00000000" w:rsidDel="00000000" w:rsidP="00000000" w:rsidRDefault="00000000" w:rsidRPr="00000000" w14:paraId="00000090">
            <w:pPr>
              <w:widowControl w:val="0"/>
              <w:spacing w:line="276" w:lineRule="auto"/>
              <w:rPr/>
            </w:pPr>
            <w:r w:rsidDel="00000000" w:rsidR="00000000" w:rsidRPr="00000000">
              <w:rPr>
                <w:rtl w:val="0"/>
              </w:rPr>
              <w:t xml:space="preserve">Щотижня</w:t>
            </w:r>
          </w:p>
        </w:tc>
      </w:tr>
      <w:tr>
        <w:tc>
          <w:tcPr/>
          <w:p w:rsidR="00000000" w:rsidDel="00000000" w:rsidP="00000000" w:rsidRDefault="00000000" w:rsidRPr="00000000" w14:paraId="00000091">
            <w:pPr>
              <w:spacing w:line="276" w:lineRule="auto"/>
              <w:rPr/>
            </w:pPr>
            <w:r w:rsidDel="00000000" w:rsidR="00000000" w:rsidRPr="00000000">
              <w:rP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092">
            <w:pPr>
              <w:widowControl w:val="0"/>
              <w:spacing w:line="276" w:lineRule="auto"/>
              <w:rPr/>
            </w:pPr>
            <w:r w:rsidDel="00000000" w:rsidR="00000000" w:rsidRPr="00000000">
              <w:rPr>
                <w:rtl w:val="0"/>
              </w:rPr>
              <w:t xml:space="preserve">Набір містить перелік тарифів на комунальні послуги, що затверджені Черкаською міською радою. Зокрема, дані про назви послуг, постачальників, вартість за одиницю та інше.</w:t>
            </w:r>
          </w:p>
        </w:tc>
      </w:tr>
      <w:tr>
        <w:trPr>
          <w:trHeight w:val="180" w:hRule="atLeast"/>
        </w:trPr>
        <w:tc>
          <w:tcPr/>
          <w:p w:rsidR="00000000" w:rsidDel="00000000" w:rsidP="00000000" w:rsidRDefault="00000000" w:rsidRPr="00000000" w14:paraId="00000093">
            <w:pPr>
              <w:spacing w:line="276" w:lineRule="auto"/>
              <w:rPr/>
            </w:pPr>
            <w:r w:rsidDel="00000000" w:rsidR="00000000" w:rsidRPr="00000000">
              <w:rPr>
                <w:rtl w:val="0"/>
              </w:rPr>
              <w:t xml:space="preserve">Підстава та призначення збору інформації</w:t>
            </w:r>
          </w:p>
        </w:tc>
        <w:tc>
          <w:tcPr/>
          <w:p w:rsidR="00000000" w:rsidDel="00000000" w:rsidP="00000000" w:rsidRDefault="00000000" w:rsidRPr="00000000" w14:paraId="00000094">
            <w:pPr>
              <w:widowControl w:val="0"/>
              <w:spacing w:line="276" w:lineRule="auto"/>
              <w:rPr/>
            </w:pPr>
            <w:r w:rsidDel="00000000" w:rsidR="00000000" w:rsidRPr="00000000">
              <w:rPr>
                <w:rtl w:val="0"/>
              </w:rPr>
              <w:t xml:space="preserve">Закон України «Про місцеве самоврядування в Україні» від 21.05.1997 № 280/97-ВР, Постанова Кабінету Міністрів України від 03.04.2019 № 291, Наказ Міністерства інфраструктури України від 25.11.2013 № 940</w:t>
            </w:r>
          </w:p>
        </w:tc>
      </w:tr>
      <w:tr>
        <w:trPr>
          <w:trHeight w:val="120" w:hRule="atLeast"/>
        </w:trPr>
        <w:tc>
          <w:tcPr/>
          <w:p w:rsidR="00000000" w:rsidDel="00000000" w:rsidP="00000000" w:rsidRDefault="00000000" w:rsidRPr="00000000" w14:paraId="00000095">
            <w:pPr>
              <w:spacing w:line="276" w:lineRule="auto"/>
              <w:rPr/>
            </w:pPr>
            <w:r w:rsidDel="00000000" w:rsidR="00000000" w:rsidRPr="00000000">
              <w:rPr>
                <w:rtl w:val="0"/>
              </w:rPr>
              <w:t xml:space="preserve">Ключові слова</w:t>
            </w:r>
          </w:p>
        </w:tc>
        <w:tc>
          <w:tcPr/>
          <w:p w:rsidR="00000000" w:rsidDel="00000000" w:rsidP="00000000" w:rsidRDefault="00000000" w:rsidRPr="00000000" w14:paraId="00000096">
            <w:pPr>
              <w:widowControl w:val="0"/>
              <w:spacing w:line="276" w:lineRule="auto"/>
              <w:rPr/>
            </w:pPr>
            <w:r w:rsidDel="00000000" w:rsidR="00000000" w:rsidRPr="00000000">
              <w:rPr>
                <w:rtl w:val="0"/>
              </w:rPr>
              <w:t xml:space="preserve">тариф, </w:t>
            </w:r>
            <w:r w:rsidDel="00000000" w:rsidR="00000000" w:rsidRPr="00000000">
              <w:rPr>
                <w:rtl w:val="0"/>
              </w:rPr>
              <w:t xml:space="preserve">ЖКП</w:t>
            </w:r>
            <w:r w:rsidDel="00000000" w:rsidR="00000000" w:rsidRPr="00000000">
              <w:rPr>
                <w:rtl w:val="0"/>
              </w:rPr>
              <w:t xml:space="preserve">, теплопостачання, вода, послуги, водопостачання, водовідведення, опалення, теплова енергія, природний газ, тверде паливо, електроенергія, житлово-комунальні послуги, комунальні послуги,</w:t>
            </w:r>
          </w:p>
        </w:tc>
      </w:tr>
      <w:tr>
        <w:trPr>
          <w:trHeight w:val="460" w:hRule="atLeast"/>
        </w:trPr>
        <w:tc>
          <w:tcPr/>
          <w:p w:rsidR="00000000" w:rsidDel="00000000" w:rsidP="00000000" w:rsidRDefault="00000000" w:rsidRPr="00000000" w14:paraId="00000097">
            <w:pPr>
              <w:spacing w:line="276" w:lineRule="auto"/>
              <w:rPr/>
            </w:pPr>
            <w:r w:rsidDel="00000000" w:rsidR="00000000" w:rsidRPr="00000000">
              <w:rPr>
                <w:rtl w:val="0"/>
              </w:rPr>
              <w:t xml:space="preserve">Відповідальна особа</w:t>
            </w:r>
          </w:p>
        </w:tc>
        <w:tc>
          <w:tcPr/>
          <w:p w:rsidR="00000000" w:rsidDel="00000000" w:rsidP="00000000" w:rsidRDefault="00000000" w:rsidRPr="00000000" w14:paraId="00000098">
            <w:pPr>
              <w:widowControl w:val="0"/>
              <w:spacing w:line="276" w:lineRule="auto"/>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099">
            <w:pPr>
              <w:spacing w:line="276" w:lineRule="auto"/>
              <w:rPr/>
            </w:pPr>
            <w:r w:rsidDel="00000000" w:rsidR="00000000" w:rsidRPr="00000000">
              <w:rPr>
                <w:rtl w:val="0"/>
              </w:rPr>
              <w:t xml:space="preserve">Адреса електронної пошти відповідальної особи</w:t>
            </w:r>
          </w:p>
        </w:tc>
        <w:tc>
          <w:tcPr/>
          <w:p w:rsidR="00000000" w:rsidDel="00000000" w:rsidP="00000000" w:rsidRDefault="00000000" w:rsidRPr="00000000" w14:paraId="0000009A">
            <w:pPr>
              <w:widowControl w:val="0"/>
              <w:spacing w:line="276" w:lineRule="auto"/>
              <w:rPr/>
            </w:pPr>
            <w:r w:rsidDel="00000000" w:rsidR="00000000" w:rsidRPr="00000000">
              <w:rPr>
                <w:rtl w:val="0"/>
              </w:rPr>
              <w:t xml:space="preserve">o.symonenko@example.gov.ua</w:t>
            </w:r>
          </w:p>
        </w:tc>
      </w:tr>
    </w:tbl>
    <w:p w:rsidR="00000000" w:rsidDel="00000000" w:rsidP="00000000" w:rsidRDefault="00000000" w:rsidRPr="00000000" w14:paraId="0000009B">
      <w:pPr>
        <w:spacing w:after="200" w:line="276" w:lineRule="auto"/>
        <w:jc w:val="left"/>
        <w:rPr/>
      </w:pPr>
      <w:r w:rsidDel="00000000" w:rsidR="00000000" w:rsidRPr="00000000">
        <w:rPr>
          <w:rtl w:val="0"/>
        </w:rPr>
      </w:r>
    </w:p>
    <w:p w:rsidR="00000000" w:rsidDel="00000000" w:rsidP="00000000" w:rsidRDefault="00000000" w:rsidRPr="00000000" w14:paraId="0000009C">
      <w:pPr>
        <w:spacing w:after="200" w:line="276" w:lineRule="auto"/>
        <w:jc w:val="center"/>
        <w:rPr>
          <w:b w:val="1"/>
        </w:rPr>
      </w:pPr>
      <w:r w:rsidDel="00000000" w:rsidR="00000000" w:rsidRPr="00000000">
        <w:rPr>
          <w:b w:val="1"/>
          <w:rtl w:val="0"/>
        </w:rPr>
        <w:t xml:space="preserve">Таблиця 3</w:t>
      </w:r>
      <w:r w:rsidDel="00000000" w:rsidR="00000000" w:rsidRPr="00000000">
        <w:rPr>
          <w:b w:val="1"/>
          <w:rtl w:val="0"/>
        </w:rPr>
        <w:t xml:space="preserve"> — Приклад паспорта ресурсу Tariffs</w:t>
      </w:r>
    </w:p>
    <w:tbl>
      <w:tblPr>
        <w:tblStyle w:val="Table7"/>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09D">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09E">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9F">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0A0">
            <w:pPr>
              <w:spacing w:line="276" w:lineRule="auto"/>
              <w:rPr/>
            </w:pPr>
            <w:r w:rsidDel="00000000" w:rsidR="00000000" w:rsidRPr="00000000">
              <w:rPr>
                <w:rtl w:val="0"/>
              </w:rPr>
              <w:t xml:space="preserve">Tariffs.xlsx</w:t>
            </w:r>
          </w:p>
        </w:tc>
      </w:tr>
      <w:tr>
        <w:tc>
          <w:tcPr/>
          <w:p w:rsidR="00000000" w:rsidDel="00000000" w:rsidP="00000000" w:rsidRDefault="00000000" w:rsidRPr="00000000" w14:paraId="000000A1">
            <w:pPr>
              <w:spacing w:line="276" w:lineRule="auto"/>
              <w:rPr/>
            </w:pPr>
            <w:r w:rsidDel="00000000" w:rsidR="00000000" w:rsidRPr="00000000">
              <w:rPr>
                <w:rtl w:val="0"/>
              </w:rPr>
              <w:t xml:space="preserve">Опис</w:t>
            </w:r>
          </w:p>
        </w:tc>
        <w:tc>
          <w:tcPr/>
          <w:p w:rsidR="00000000" w:rsidDel="00000000" w:rsidP="00000000" w:rsidRDefault="00000000" w:rsidRPr="00000000" w14:paraId="000000A2">
            <w:pPr>
              <w:widowControl w:val="0"/>
              <w:spacing w:line="276" w:lineRule="auto"/>
              <w:rPr/>
            </w:pPr>
            <w:r w:rsidDel="00000000" w:rsidR="00000000" w:rsidRPr="00000000">
              <w:rPr>
                <w:rtl w:val="0"/>
              </w:rPr>
              <w:t xml:space="preserve">Таблиця містить дані про ідентифікатори, види послуги, категорії користувачів, вартість за одиницю, статус, термін дії тарифу, постачальників, реквізити нормативно-правових актів, якими затверджені тарифи. Кожним записом в таблиці є один тариф.</w:t>
            </w:r>
          </w:p>
        </w:tc>
      </w:tr>
      <w:tr>
        <w:trPr>
          <w:trHeight w:val="160" w:hRule="atLeast"/>
        </w:trPr>
        <w:tc>
          <w:tcPr/>
          <w:p w:rsidR="00000000" w:rsidDel="00000000" w:rsidP="00000000" w:rsidRDefault="00000000" w:rsidRPr="00000000" w14:paraId="000000A3">
            <w:pPr>
              <w:spacing w:line="276" w:lineRule="auto"/>
              <w:rPr/>
            </w:pPr>
            <w:r w:rsidDel="00000000" w:rsidR="00000000" w:rsidRPr="00000000">
              <w:rPr>
                <w:rtl w:val="0"/>
              </w:rPr>
              <w:t xml:space="preserve">Формат</w:t>
            </w:r>
          </w:p>
        </w:tc>
        <w:tc>
          <w:tcPr/>
          <w:p w:rsidR="00000000" w:rsidDel="00000000" w:rsidP="00000000" w:rsidRDefault="00000000" w:rsidRPr="00000000" w14:paraId="000000A4">
            <w:pPr>
              <w:widowControl w:val="0"/>
              <w:spacing w:line="276" w:lineRule="auto"/>
              <w:rPr/>
            </w:pPr>
            <w:r w:rsidDel="00000000" w:rsidR="00000000" w:rsidRPr="00000000">
              <w:rPr>
                <w:rtl w:val="0"/>
              </w:rPr>
              <w:t xml:space="preserve">XLSX</w:t>
            </w:r>
          </w:p>
        </w:tc>
      </w:tr>
    </w:tbl>
    <w:p w:rsidR="00000000" w:rsidDel="00000000" w:rsidP="00000000" w:rsidRDefault="00000000" w:rsidRPr="00000000" w14:paraId="000000A5">
      <w:pPr>
        <w:spacing w:line="276" w:lineRule="auto"/>
        <w:rPr>
          <w:b w:val="1"/>
        </w:rPr>
      </w:pPr>
      <w:r w:rsidDel="00000000" w:rsidR="00000000" w:rsidRPr="00000000">
        <w:rPr>
          <w:rtl w:val="0"/>
        </w:rPr>
      </w:r>
    </w:p>
    <w:sectPr>
      <w:pgSz w:h="16838" w:w="11906"/>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zakon.rada.gov.ua/laws/show/z2035-13" TargetMode="External"/><Relationship Id="rId10" Type="http://schemas.openxmlformats.org/officeDocument/2006/relationships/hyperlink" Target="https://zakon.rada.gov.ua/laws/show/291-2019-%D0%BF" TargetMode="External"/><Relationship Id="rId13" Type="http://schemas.openxmlformats.org/officeDocument/2006/relationships/hyperlink" Target="https://github.com/tapas-opendata/decreet-835-mun/raw/master/infrastructure/tariffs/Example.xlsx" TargetMode="External"/><Relationship Id="rId12" Type="http://schemas.openxmlformats.org/officeDocument/2006/relationships/hyperlink" Target="https://github.com/tapas-opendata/decreet-835-mun/raw/master/infrastructure/tariffs/Tariffs.xls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akon.rada.gov.ua/laws/show/280/97-%D0%B2%D1%80" TargetMode="External"/><Relationship Id="rId15" Type="http://schemas.openxmlformats.org/officeDocument/2006/relationships/hyperlink" Target="https://github.com/tapas-opendata/decreet-835-mun/raw/master/infrastructure/tariffs/Structure.xlsx" TargetMode="External"/><Relationship Id="rId14" Type="http://schemas.openxmlformats.org/officeDocument/2006/relationships/hyperlink" Target="https://github.com/tapas-opendata/decreet-835-mun/raw/master/infrastructure/tariffs/Example.xlsx" TargetMode="External"/><Relationship Id="rId17" Type="http://schemas.openxmlformats.org/officeDocument/2006/relationships/hyperlink" Target="https://raw.githubusercontent.com/tapas-opendata/decreet-835-mun/master/infrastructure/tariffs/Structure.json" TargetMode="External"/><Relationship Id="rId16" Type="http://schemas.openxmlformats.org/officeDocument/2006/relationships/hyperlink" Target="https://raw.githubusercontent.com/tapas-opendata/decreet-835-mun/master/infrastructure/tariffs/Structure.csv" TargetMode="External"/><Relationship Id="rId5" Type="http://schemas.openxmlformats.org/officeDocument/2006/relationships/styles" Target="styles.xml"/><Relationship Id="rId6" Type="http://schemas.openxmlformats.org/officeDocument/2006/relationships/hyperlink" Target="https://zakon.rada.gov.ua/laws/show/280/97-%D0%B2%D1%80" TargetMode="External"/><Relationship Id="rId18" Type="http://schemas.openxmlformats.org/officeDocument/2006/relationships/hyperlink" Target="https://docs.ckan.org/en/latest/maintaining/datastore.html" TargetMode="External"/><Relationship Id="rId7" Type="http://schemas.openxmlformats.org/officeDocument/2006/relationships/hyperlink" Target="https://zakon.rada.gov.ua/laws/show/291-2019-%D0%BF" TargetMode="External"/><Relationship Id="rId8" Type="http://schemas.openxmlformats.org/officeDocument/2006/relationships/hyperlink" Target="https://zakon.rada.gov.ua/laws/show/z2035-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