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x7befx1h52p" w:id="0"/>
      <w:bookmarkEnd w:id="0"/>
      <w:r w:rsidDel="00000000" w:rsidR="00000000" w:rsidRPr="00000000">
        <w:rPr>
          <w:rtl w:val="0"/>
        </w:rPr>
        <w:t xml:space="preserve">Дані про розміщення спецтехніки, що використовується для надання комунальних послуг, благоустрою, здійснення будівельних та ремонтних робіт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sbh2n629xkic" w:id="1"/>
      <w:bookmarkEnd w:id="1"/>
      <w:r w:rsidDel="00000000" w:rsidR="00000000" w:rsidRPr="00000000">
        <w:rPr>
          <w:rtl w:val="0"/>
        </w:rPr>
        <w:t xml:space="preserve">1. Коротка довідка</w:t>
      </w:r>
    </w:p>
    <w:tbl>
      <w:tblPr>
        <w:tblStyle w:val="Table1"/>
        <w:tblW w:w="9000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Характеристика</w:t>
            </w:r>
          </w:p>
        </w:tc>
      </w:tr>
      <w:tr>
        <w:trPr>
          <w:trHeight w:val="1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Нормативно-правові акти, які визначають створення, збір, зберігання, використання й поширення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Закон України «Про місцеве самоврядування в Україні» від 21.05.1997 № 280/97-ВР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Закон України «Про автомобільний транспорт» від 05.04.2001 № 2344-III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нормативно-правові акти органів місцевого самоврядування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Інформація, що створюється, збирається, зберігається й поширюється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Для відстеження розміщення (GPS-моніторинг) комунального транспорту органи місцевого самоврядування використовують автоматизовані системи диспетчерського управління.</w:t>
            </w:r>
          </w:p>
        </w:tc>
      </w:tr>
      <w:tr>
        <w:trPr>
          <w:trHeight w:val="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Способи оновлення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Оприлюднення даних про розміщення спецтехніки в режимі реального часу або за певні періоди 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Частота оновлення інформації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Більш як один раз на день (у разі автоматичного оприлюднення) або не рідше, ніж щотижня (у разі оновлення персоналом)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Тип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Структуровані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Формати файлів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CSV, XML, JSON, можливі інші формати структурованих даних</w:t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u3689hvdevb0" w:id="2"/>
      <w:bookmarkEnd w:id="2"/>
      <w:r w:rsidDel="00000000" w:rsidR="00000000" w:rsidRPr="00000000">
        <w:rPr>
          <w:rtl w:val="0"/>
        </w:rPr>
        <w:t xml:space="preserve">2. Огляд нормативно-правової бази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Питання використання систем GPS-моніторингу комунального транспорту слабко врегульовані в українському законодавстві. Органи місцевого самоврядування ухвалюють внутрішні нормативно-правові акти для впровадження системи моніторингу, наприклад: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Розпорядження Миколаївського міського голови від 08.01.2019 № 3р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Рішення Виконавчого комітету Івано-Франківської міської ради від 09.10.2014 № 509</w:t>
        </w:r>
      </w:hyperlink>
      <w:r w:rsidDel="00000000" w:rsidR="00000000" w:rsidRPr="00000000">
        <w:rPr>
          <w:rtl w:val="0"/>
        </w:rPr>
        <w:t xml:space="preserve"> тощо.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mtidjmckvvz7" w:id="3"/>
      <w:bookmarkEnd w:id="3"/>
      <w:r w:rsidDel="00000000" w:rsidR="00000000" w:rsidRPr="00000000">
        <w:rPr>
          <w:rtl w:val="0"/>
        </w:rPr>
        <w:t xml:space="preserve">3. Підготовка даних та структура набору</w:t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tl w:val="0"/>
        </w:rPr>
        <w:t xml:space="preserve">Дані про розміщення спецтехніки рекомендовано оприлюднювати через API (інтерфейс прикладного програмування) систем диспетчерського управління або шляхом експорту даних у відкритих машиночитаних форматах (CSV, JSON, XML). У першому випадку одним ресурсом набору може бути посилання (кінцева точка API), що містить дані про місцезнаходження транспорту в даний момент часу; у другому — архів даних (ZIP, 7z тощо) із записом розміщення спецтехніки протягом певного періоду часу.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Набір даних повинен містити вичерпний перелік транспортних засобів. По кожному транспортному засобу необхідно забезпечити наявність таких атрибутів: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унікальний ідентифікатор транспортного засобу в системі;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назву та/або тип транспортного засобу;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географічні координати місцезнаходження транспортного засобу;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дата і час заміру даних (мітка часу);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номерний знак;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бортовий номер (за наявності);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моментальна швидкість руху;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азимут руху.</w:t>
      </w:r>
    </w:p>
    <w:p w:rsidR="00000000" w:rsidDel="00000000" w:rsidP="00000000" w:rsidRDefault="00000000" w:rsidRPr="00000000" w14:paraId="0000001F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Не допускаються оприлюднення посилання на графічний інтерфейс веб-сервісів (наприклад, інтерактивні мапи руху комунального транспорту); оприлюднення зведених (агрегованих) даних про рух транспорту (наприклад, загального кілометражу або часу руху).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Для того, щоб орган місцевого самоврядування мав доступ до даних систем диспетчерського управління, у договорах із постачальниками необхідно передбачити такі пункти: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усі майнові, інтелектуальні та будь-які інші права на будь-які дані, що надходять, генеруються, видаються автоматизованою системою диспетчерського управління (АСДУ), встановленою для диспетчеризації руху комунального транспорту, належать місцевій громаді;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постачальник послуг із диспетчеризації зобов’язаний надавати органу місцевого самоврядування іншу інформацію, необхідну для реалізації владних повноважень у сфері громадського транспорту, надання та контролю послуг з пасажирських перевезень, комунальних послуг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OpenUp, 2018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ayzcnxf60j46" w:id="4"/>
      <w:bookmarkEnd w:id="4"/>
      <w:r w:rsidDel="00000000" w:rsidR="00000000" w:rsidRPr="00000000">
        <w:rPr>
          <w:rtl w:val="0"/>
        </w:rPr>
        <w:t xml:space="preserve">4. Оформлення паспортів наборів та ресурсів</w:t>
      </w:r>
    </w:p>
    <w:tbl>
      <w:tblPr>
        <w:tblStyle w:val="Table2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trHeight w:val="11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Зверніть увагу!</w:t>
            </w:r>
            <w:r w:rsidDel="00000000" w:rsidR="00000000" w:rsidRPr="00000000">
              <w:rPr>
                <w:rtl w:val="0"/>
              </w:rPr>
              <w:t xml:space="preserve"> Назва набору має відповідати Переліку, затвердженому Постановою КМУ № 835 (зі змінами). Також вона може включати назву розпорядника або населеного пункту, з яким пов’язані дані. Це полегшує пошук набору в пошукових системах.</w:t>
            </w:r>
          </w:p>
        </w:tc>
      </w:tr>
    </w:tbl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1 — Приклад паспорта набору даних на data.gov.ua</w:t>
      </w:r>
    </w:p>
    <w:tbl>
      <w:tblPr>
        <w:tblStyle w:val="Table3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35"/>
        <w:gridCol w:w="6210"/>
        <w:tblGridChange w:id="0">
          <w:tblGrid>
            <w:gridCol w:w="2835"/>
            <w:gridCol w:w="6210"/>
          </w:tblGrid>
        </w:tblGridChange>
      </w:tblGrid>
      <w:tr>
        <w:trPr>
          <w:trHeight w:val="100" w:hRule="atLeast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Назва набору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Дані про розміщення спецтехніки, що використовується для надання комунальних послуг, благоустрою, здійснення будівельних та ремонтних робіт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Відомості про мову інформації, яка міститься у наборі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Українська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02D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Частота оновлення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Більш як один раз на день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shd w:fill="fcfcfc" w:val="clear"/>
                <w:rtl w:val="0"/>
              </w:rPr>
              <w:t xml:space="preserve">Опис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6.37795275590554" w:type="dxa"/>
              <w:left w:w="96.37795275590554" w:type="dxa"/>
              <w:bottom w:w="96.37795275590554" w:type="dxa"/>
              <w:right w:w="96.37795275590554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Набір містить кінцеві точки API (інтерфейсу прикладного програмування) автоматизованої системи диспетчерського управління комунальним транспортом, що надають дані про розміщення комунального транспорту в режимі реального часу.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31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Підстава та призначення збору інформації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Закон України «Про місцеве самоврядування в Україні» від 21.05.1997 № 280/97-ВР, Закон України «Про автомобільний транспорт» від 05.04.2001 № 2344-III, Розпорядження Миколаївського міського голови від 08.01.2019 № 3р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33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Ключові слова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GPS, транспорт, спецтехніка, техніка, благоустрій, будівельні роботи, комунальні послуги, геолокація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5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Відповідальна особа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Симоненко Олена Петрівна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7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Адреса електронної пошти відповідальної особи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o.symonenko@example.gov.ua</w:t>
            </w:r>
          </w:p>
        </w:tc>
      </w:tr>
    </w:tbl>
    <w:p w:rsidR="00000000" w:rsidDel="00000000" w:rsidP="00000000" w:rsidRDefault="00000000" w:rsidRPr="00000000" w14:paraId="00000039">
      <w:pPr>
        <w:spacing w:after="20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2 — Приклад паспорта ресурсу </w:t>
      </w:r>
      <w:r w:rsidDel="00000000" w:rsidR="00000000" w:rsidRPr="00000000">
        <w:rPr>
          <w:b w:val="1"/>
          <w:rtl w:val="0"/>
        </w:rPr>
        <w:t xml:space="preserve">VehiclePosition</w:t>
      </w: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05"/>
        <w:gridCol w:w="6240"/>
        <w:tblGridChange w:id="0">
          <w:tblGrid>
            <w:gridCol w:w="2805"/>
            <w:gridCol w:w="6240"/>
          </w:tblGrid>
        </w:tblGridChange>
      </w:tblGrid>
      <w:tr>
        <w:trPr>
          <w:trHeight w:val="20" w:hRule="atLeast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Посилання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https://example.gov.ua/vehicle_position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Назва ресурсу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VehiclePosition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Кінцева точка API (посилання) для отримання даних про розміщення комунального транспорту в режимі реального часу.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43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Формат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</w:tr>
    </w:tbl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openup.org.ua/2018/11/27/%D1%8F%D0%BA-%D0%BC%D1%96%D1%81%D1%82%D1%83-%D0%BE%D0%BF%D1%80%D0%B8%D0%BB%D1%8E%D0%B4%D0%BD%D1%8E%D0%B2%D0%B0%D1%82%D0%B8-%D1%82%D1%80%D0%B0%D0%BD%D1%81%D0%BF%D0%BE%D1%80%D1%82%D0%BD%D1%96-%D0%B4/" TargetMode="External"/><Relationship Id="rId9" Type="http://schemas.openxmlformats.org/officeDocument/2006/relationships/hyperlink" Target="http://www.namvk.if.ua/dt/13824/" TargetMode="External"/><Relationship Id="rId5" Type="http://schemas.openxmlformats.org/officeDocument/2006/relationships/styles" Target="styles.xml"/><Relationship Id="rId6" Type="http://schemas.openxmlformats.org/officeDocument/2006/relationships/hyperlink" Target="https://zakon.rada.gov.ua/laws/show/280/97-%D0%B2%D1%80" TargetMode="External"/><Relationship Id="rId7" Type="http://schemas.openxmlformats.org/officeDocument/2006/relationships/hyperlink" Target="https://zakon.rada.gov.ua/laws/show/2344-14" TargetMode="External"/><Relationship Id="rId8" Type="http://schemas.openxmlformats.org/officeDocument/2006/relationships/hyperlink" Target="https://mkrada.gov.ua/documents/3081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