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yky2qtrw7cmt" w:id="0"/>
      <w:bookmarkEnd w:id="0"/>
      <w:r w:rsidDel="00000000" w:rsidR="00000000" w:rsidRPr="00000000">
        <w:rPr>
          <w:rtl w:val="0"/>
        </w:rPr>
        <w:t xml:space="preserve">Дані про депутатів місцевих рад, у тому числі контактні дані та графік прийому</w:t>
      </w:r>
    </w:p>
    <w:p w:rsidR="00000000" w:rsidDel="00000000" w:rsidP="00000000" w:rsidRDefault="00000000" w:rsidRPr="00000000" w14:paraId="00000002">
      <w:pPr>
        <w:pStyle w:val="Heading1"/>
        <w:rPr/>
      </w:pPr>
      <w:bookmarkStart w:colFirst="0" w:colLast="0" w:name="_4oxyufi0p0yz"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статус депутатів місцевих рад» від 11.07.2002 № 93-IV</w:t>
              </w:r>
            </w:hyperlink>
            <w:r w:rsidDel="00000000" w:rsidR="00000000" w:rsidRPr="00000000">
              <w:rPr>
                <w:rtl w:val="0"/>
              </w:rPr>
              <w:t xml:space="preserve">, </w:t>
            </w:r>
            <w:hyperlink r:id="rId8">
              <w:r w:rsidDel="00000000" w:rsidR="00000000" w:rsidRPr="00000000">
                <w:rPr>
                  <w:color w:val="1155cc"/>
                  <w:u w:val="single"/>
                  <w:rtl w:val="0"/>
                </w:rPr>
                <w:t xml:space="preserve">Закон України «Про місцеві вибори» від 14.07.2015 № 595-VIII</w:t>
              </w:r>
            </w:hyperlink>
            <w:r w:rsidDel="00000000" w:rsidR="00000000" w:rsidRPr="00000000">
              <w:rPr>
                <w:rtl w:val="0"/>
              </w:rPr>
              <w:t xml:space="preserve">, </w:t>
            </w:r>
            <w:hyperlink r:id="rId9">
              <w:r w:rsidDel="00000000" w:rsidR="00000000" w:rsidRPr="00000000">
                <w:rPr>
                  <w:color w:val="1155cc"/>
                  <w:u w:val="single"/>
                  <w:rtl w:val="0"/>
                </w:rPr>
                <w:t xml:space="preserve">Закон України «Про доступ до публічної інформації» від 13.01.2011 № 2939-VI</w:t>
              </w:r>
            </w:hyperlink>
            <w:r w:rsidDel="00000000" w:rsidR="00000000" w:rsidRPr="00000000">
              <w:rPr>
                <w:rtl w:val="0"/>
              </w:rPr>
              <w:t xml:space="preserve">, регламенти органів місцевого самоврядування.</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і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Органи місцевого самоврядування збирають ідентифікаційні біографічні й контактні дані депутатів задля виконання власних повноважень. Перелік відомостей, що мають оприлюднюватись, визначений у п. 11 ст. 15 Закону України «Про доступ до публічної інформації».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Зміна депутатського корпусу</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before="0" w:lineRule="auto"/>
        <w:rPr/>
      </w:pPr>
      <w:r w:rsidDel="00000000" w:rsidR="00000000" w:rsidRPr="00000000">
        <w:rPr>
          <w:rtl w:val="0"/>
        </w:rPr>
        <w:t xml:space="preserve">Відповідно до пункту 7 частини 1 статті 3 </w:t>
      </w:r>
      <w:hyperlink r:id="rId10">
        <w:r w:rsidDel="00000000" w:rsidR="00000000" w:rsidRPr="00000000">
          <w:rPr>
            <w:color w:val="1155cc"/>
            <w:u w:val="single"/>
            <w:rtl w:val="0"/>
          </w:rPr>
          <w:t xml:space="preserve">Кодексу адміністративного судочинства України</w:t>
        </w:r>
      </w:hyperlink>
      <w:r w:rsidDel="00000000" w:rsidR="00000000" w:rsidRPr="00000000">
        <w:rPr>
          <w:rtl w:val="0"/>
        </w:rPr>
        <w:t xml:space="preserve"> д</w:t>
      </w:r>
      <w:r w:rsidDel="00000000" w:rsidR="00000000" w:rsidRPr="00000000">
        <w:rPr>
          <w:rtl w:val="0"/>
        </w:rPr>
        <w:t xml:space="preserve">епутати місцевих рад є суб’єктами владних повноважень. Таким чином перелік відомостей про депутатів, що підлягають оприлюдненню, визначається частиною 11 статті 15 </w:t>
      </w:r>
      <w:hyperlink r:id="rId11">
        <w:r w:rsidDel="00000000" w:rsidR="00000000" w:rsidRPr="00000000">
          <w:rPr>
            <w:color w:val="1155cc"/>
            <w:u w:val="single"/>
            <w:rtl w:val="0"/>
          </w:rPr>
          <w:t xml:space="preserve">Закону України «Про доступ до публічної інформації»</w:t>
        </w:r>
      </w:hyperlink>
      <w:r w:rsidDel="00000000" w:rsidR="00000000" w:rsidRPr="00000000">
        <w:rPr>
          <w:rtl w:val="0"/>
        </w:rPr>
        <w:t xml:space="preserve">. Даний пункт передбачає оприлюднення </w:t>
      </w:r>
      <w:r w:rsidDel="00000000" w:rsidR="00000000" w:rsidRPr="00000000">
        <w:rPr>
          <w:rtl w:val="0"/>
        </w:rPr>
        <w:t xml:space="preserve">поштової адреси, номерів засобів зв'язку, адреси офіційного веб-сайту, електронної пошти, графіка прийому громадян та інших відомостей про суб’єктів владних повноважень.</w:t>
      </w:r>
    </w:p>
    <w:p w:rsidR="00000000" w:rsidDel="00000000" w:rsidP="00000000" w:rsidRDefault="00000000" w:rsidRPr="00000000" w14:paraId="00000013">
      <w:pPr>
        <w:spacing w:after="200" w:before="0" w:lineRule="auto"/>
        <w:rPr/>
      </w:pPr>
      <w:hyperlink r:id="rId12">
        <w:r w:rsidDel="00000000" w:rsidR="00000000" w:rsidRPr="00000000">
          <w:rPr>
            <w:color w:val="1155cc"/>
            <w:u w:val="single"/>
            <w:rtl w:val="0"/>
          </w:rPr>
          <w:t xml:space="preserve">Закон Україн «Про статус депутатів місцевих рад»</w:t>
        </w:r>
      </w:hyperlink>
      <w:r w:rsidDel="00000000" w:rsidR="00000000" w:rsidRPr="00000000">
        <w:rPr>
          <w:rtl w:val="0"/>
        </w:rPr>
        <w:t xml:space="preserve"> (ст. 10) передбачає оприлюднення інформації про дні, години та місце прийому виборців, інших громадян.</w:t>
      </w:r>
    </w:p>
    <w:p w:rsidR="00000000" w:rsidDel="00000000" w:rsidP="00000000" w:rsidRDefault="00000000" w:rsidRPr="00000000" w14:paraId="00000014">
      <w:pPr>
        <w:pStyle w:val="Heading1"/>
        <w:rPr/>
      </w:pPr>
      <w:bookmarkStart w:colFirst="0" w:colLast="0" w:name="_mtidjmckvvz7"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5">
      <w:pPr>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Deputies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Дані про певного депутата місцевої ради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Розміщення нової версії ресурсу, створення нового ресурсу для кожного нового скликання</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hyperlink r:id="rId13">
              <w:r w:rsidDel="00000000" w:rsidR="00000000" w:rsidRPr="00000000">
                <w:rPr>
                  <w:color w:val="1155cc"/>
                  <w:u w:val="single"/>
                  <w:rtl w:val="0"/>
                </w:rPr>
                <w:t xml:space="preserve">Deputies.xlsx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hyperlink r:id="rId14">
              <w:r w:rsidDel="00000000" w:rsidR="00000000" w:rsidRPr="00000000">
                <w:rPr>
                  <w:color w:val="1155cc"/>
                  <w:u w:val="single"/>
                  <w:rtl w:val="0"/>
                </w:rPr>
                <w:t xml:space="preserve">Example</w:t>
              </w:r>
            </w:hyperlink>
            <w:hyperlink r:id="rId15">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hyperlink r:id="rId16">
              <w:r w:rsidDel="00000000" w:rsidR="00000000" w:rsidRPr="00000000">
                <w:rPr>
                  <w:color w:val="1155cc"/>
                  <w:u w:val="single"/>
                  <w:rtl w:val="0"/>
                </w:rPr>
                <w:t xml:space="preserve">Structure.xlsx</w:t>
              </w:r>
            </w:hyperlink>
            <w:r w:rsidDel="00000000" w:rsidR="00000000" w:rsidRPr="00000000">
              <w:rPr>
                <w:rtl w:val="0"/>
              </w:rPr>
              <w:t xml:space="preserve">, </w:t>
            </w:r>
            <w:hyperlink r:id="rId17">
              <w:r w:rsidDel="00000000" w:rsidR="00000000" w:rsidRPr="00000000">
                <w:rPr>
                  <w:color w:val="1155cc"/>
                  <w:u w:val="single"/>
                  <w:rtl w:val="0"/>
                </w:rPr>
                <w:t xml:space="preserve">Structure.csv</w:t>
              </w:r>
            </w:hyperlink>
            <w:r w:rsidDel="00000000" w:rsidR="00000000" w:rsidRPr="00000000">
              <w:rPr>
                <w:rtl w:val="0"/>
              </w:rPr>
              <w:t xml:space="preserve">, </w:t>
            </w:r>
            <w:hyperlink r:id="rId18">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6">
      <w:pPr>
        <w:spacing w:line="276" w:lineRule="auto"/>
        <w:ind w:left="0" w:firstLine="0"/>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9">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after="200" w:lineRule="auto"/>
        <w:jc w:val="center"/>
        <w:rPr/>
      </w:pPr>
      <w:r w:rsidDel="00000000" w:rsidR="00000000" w:rsidRPr="00000000">
        <w:rPr>
          <w:b w:val="1"/>
          <w:rtl w:val="0"/>
        </w:rPr>
        <w:t xml:space="preserve">Таблиця </w:t>
      </w:r>
      <w:r w:rsidDel="00000000" w:rsidR="00000000" w:rsidRPr="00000000">
        <w:rPr>
          <w:b w:val="1"/>
          <w:rtl w:val="0"/>
        </w:rPr>
        <w:t xml:space="preserve">1</w:t>
      </w:r>
      <w:r w:rsidDel="00000000" w:rsidR="00000000" w:rsidRPr="00000000">
        <w:rPr>
          <w:b w:val="1"/>
          <w:rtl w:val="0"/>
        </w:rPr>
        <w:t xml:space="preserve"> — Структура таблиці Deputies</w:t>
      </w:r>
      <w:r w:rsidDel="00000000" w:rsidR="00000000" w:rsidRPr="00000000">
        <w:rPr>
          <w:rtl w:val="0"/>
        </w:rPr>
      </w:r>
    </w:p>
    <w:tbl>
      <w:tblPr>
        <w:tblStyle w:val="Table4"/>
        <w:tblW w:w="9045.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35"/>
        <w:gridCol w:w="1665"/>
        <w:gridCol w:w="3225"/>
        <w:gridCol w:w="1290"/>
        <w:gridCol w:w="1530"/>
        <w:tblGridChange w:id="0">
          <w:tblGrid>
            <w:gridCol w:w="1335"/>
            <w:gridCol w:w="1665"/>
            <w:gridCol w:w="3225"/>
            <w:gridCol w:w="1290"/>
            <w:gridCol w:w="153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A">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B">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C">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D">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rPr>
                <w:b w:val="1"/>
              </w:rPr>
            </w:pPr>
            <w:r w:rsidDel="00000000" w:rsidR="00000000" w:rsidRPr="00000000">
              <w:rPr>
                <w:b w:val="1"/>
                <w:rtl w:val="0"/>
              </w:rPr>
              <w:t xml:space="preserve">Вимога заповнення (required)</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rPr/>
            </w:pPr>
            <w:r w:rsidDel="00000000" w:rsidR="00000000" w:rsidRPr="00000000">
              <w:rPr>
                <w:rtl w:val="0"/>
              </w:rPr>
              <w:t xml:space="preserve">І</w:t>
            </w:r>
            <w:r w:rsidDel="00000000" w:rsidR="00000000" w:rsidRPr="00000000">
              <w:rPr>
                <w:rtl w:val="0"/>
              </w:rPr>
              <w:t xml:space="preserve">дентифікатор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rPr/>
            </w:pPr>
            <w:r w:rsidDel="00000000" w:rsidR="00000000" w:rsidRPr="00000000">
              <w:rPr>
                <w:rtl w:val="0"/>
              </w:rPr>
              <w:t xml:space="preserve">Ідентифікатором депутата є номер посвідчення або інша унікальна комбінація літер та чисел. </w:t>
            </w:r>
            <w:r w:rsidDel="00000000" w:rsidR="00000000" w:rsidRPr="00000000">
              <w:rPr>
                <w:rtl w:val="0"/>
              </w:rPr>
              <w:t xml:space="preserve">Наприклад: 2345-АБВ.</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rPr/>
            </w:pPr>
            <w:r w:rsidDel="00000000" w:rsidR="00000000" w:rsidRPr="00000000">
              <w:rPr>
                <w:rtl w:val="0"/>
              </w:rPr>
              <w:t xml:space="preserve">identifier_voting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rPr/>
            </w:pPr>
            <w:r w:rsidDel="00000000" w:rsidR="00000000" w:rsidRPr="00000000">
              <w:rPr>
                <w:rtl w:val="0"/>
              </w:rPr>
              <w:t xml:space="preserve">Номер в системі голосування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rPr/>
            </w:pPr>
            <w:r w:rsidDel="00000000" w:rsidR="00000000" w:rsidRPr="00000000">
              <w:rPr>
                <w:rtl w:val="0"/>
              </w:rPr>
              <w:t xml:space="preserve">Деякі електронні системи голосування замість повного прізвища, ім’я, по батькові використовують лише ідентифікатори депутатів</w:t>
            </w:r>
            <w:r w:rsidDel="00000000" w:rsidR="00000000" w:rsidRPr="00000000">
              <w:rPr>
                <w:rtl w:val="0"/>
              </w:rPr>
              <w:t xml:space="preserve"> (набір даних «Поіменні результати голосування депутатів»). У цьому разі необхідно зазначити номер депутата в системі для голосування. Наприклад: dep-23.</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rPr/>
            </w:pPr>
            <w:r w:rsidDel="00000000" w:rsidR="00000000" w:rsidRPr="00000000">
              <w:rPr>
                <w:rtl w:val="0"/>
              </w:rPr>
              <w:t xml:space="preserve">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rPr/>
            </w:pPr>
            <w:r w:rsidDel="00000000" w:rsidR="00000000" w:rsidRPr="00000000">
              <w:rPr>
                <w:rtl w:val="0"/>
              </w:rPr>
              <w:t xml:space="preserve">Прізвище, ім’я, по батькові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rPr/>
            </w:pPr>
            <w:r w:rsidDel="00000000" w:rsidR="00000000" w:rsidRPr="00000000">
              <w:rPr>
                <w:rtl w:val="0"/>
              </w:rPr>
              <w:t xml:space="preserve">Прізвище, ім’я, по батькові депутата. Наприклад: Ковальчук Андрій Іванович.</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widowControl w:val="0"/>
              <w:rPr/>
            </w:pPr>
            <w:r w:rsidDel="00000000" w:rsidR="00000000" w:rsidRPr="00000000">
              <w:rPr>
                <w:rtl w:val="0"/>
              </w:rPr>
              <w:t xml:space="preserve">gender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rPr/>
            </w:pPr>
            <w:r w:rsidDel="00000000" w:rsidR="00000000" w:rsidRPr="00000000">
              <w:rPr>
                <w:rtl w:val="0"/>
              </w:rPr>
              <w:t xml:space="preserve">Стать</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rPr/>
            </w:pPr>
            <w:r w:rsidDel="00000000" w:rsidR="00000000" w:rsidRPr="00000000">
              <w:rPr>
                <w:rtl w:val="0"/>
              </w:rPr>
              <w:t xml:space="preserve">Стать зазначається цифрами відповідно до стандарту ISO/IEC 5218:2004: 0 — невідомо, 1 — чоловік, 2 — жінка, 9 — не застосовується. Наприклад: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rPr/>
            </w:pPr>
            <w:r w:rsidDel="00000000" w:rsidR="00000000" w:rsidRPr="00000000">
              <w:rPr>
                <w:rtl w:val="0"/>
              </w:rPr>
              <w:t xml:space="preserve">Ціле число (integer)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widowControl w:val="0"/>
              <w:rPr/>
            </w:pPr>
            <w:r w:rsidDel="00000000" w:rsidR="00000000" w:rsidRPr="00000000">
              <w:rPr>
                <w:rtl w:val="0"/>
              </w:rPr>
              <w:t xml:space="preserve">birth_date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widowControl w:val="0"/>
              <w:rPr/>
            </w:pPr>
            <w:r w:rsidDel="00000000" w:rsidR="00000000" w:rsidRPr="00000000">
              <w:rPr>
                <w:rtl w:val="0"/>
              </w:rPr>
              <w:t xml:space="preserve">Дата народження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widowControl w:val="0"/>
              <w:rPr/>
            </w:pPr>
            <w:r w:rsidDel="00000000" w:rsidR="00000000" w:rsidRPr="00000000">
              <w:rPr>
                <w:rtl w:val="0"/>
              </w:rPr>
              <w:t xml:space="preserve">Дата народження у форматі ISO 8601 (рррр-мм-дд). Наприклад: 1980-12-01.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widowControl w:val="0"/>
              <w:rPr/>
            </w:pPr>
            <w:r w:rsidDel="00000000" w:rsidR="00000000" w:rsidRPr="00000000">
              <w:rPr>
                <w:rtl w:val="0"/>
              </w:rPr>
              <w:t xml:space="preserve">Дата (date)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widowControl w:val="0"/>
              <w:rPr/>
            </w:pPr>
            <w:r w:rsidDel="00000000" w:rsidR="00000000" w:rsidRPr="00000000">
              <w:rPr>
                <w:rtl w:val="0"/>
              </w:rPr>
              <w:t xml:space="preserve">image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rPr/>
            </w:pPr>
            <w:r w:rsidDel="00000000" w:rsidR="00000000" w:rsidRPr="00000000">
              <w:rPr>
                <w:rtl w:val="0"/>
              </w:rPr>
              <w:t xml:space="preserve">Фото</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rPr/>
            </w:pPr>
            <w:r w:rsidDel="00000000" w:rsidR="00000000" w:rsidRPr="00000000">
              <w:rPr>
                <w:rtl w:val="0"/>
              </w:rPr>
              <w:t xml:space="preserve">Посилання на знімок обличчя, що оприлюднений у мережі Інтернет (URL). Посилання має починатися з http:// або https://. Наприклад: https://www.example.gov.ua/photo.png. Якщо фото відсутнє, вказати null.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widowControl w:val="0"/>
              <w:rPr/>
            </w:pPr>
            <w:r w:rsidDel="00000000" w:rsidR="00000000" w:rsidRPr="00000000">
              <w:rPr>
                <w:rtl w:val="0"/>
              </w:rPr>
              <w:t xml:space="preserve">Посилання (anyURI)</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widowControl w:val="0"/>
              <w:rPr/>
            </w:pPr>
            <w:r w:rsidDel="00000000" w:rsidR="00000000" w:rsidRPr="00000000">
              <w:rPr>
                <w:rtl w:val="0"/>
              </w:rPr>
              <w:t xml:space="preserve">biography</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widowControl w:val="0"/>
              <w:rPr/>
            </w:pPr>
            <w:r w:rsidDel="00000000" w:rsidR="00000000" w:rsidRPr="00000000">
              <w:rPr>
                <w:rtl w:val="0"/>
              </w:rPr>
              <w:t xml:space="preserve">Біографічні дані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widowControl w:val="0"/>
              <w:rPr/>
            </w:pPr>
            <w:r w:rsidDel="00000000" w:rsidR="00000000" w:rsidRPr="00000000">
              <w:rPr>
                <w:rtl w:val="0"/>
              </w:rPr>
              <w:t xml:space="preserve">Біографічні дані відповідно до відомостей, що розміщені на веб-сайті ЦВК. Зокрема, дані </w:t>
            </w:r>
            <w:r w:rsidDel="00000000" w:rsidR="00000000" w:rsidRPr="00000000">
              <w:rPr>
                <w:rtl w:val="0"/>
              </w:rPr>
              <w:t xml:space="preserve">про місце проживання, освіту, професійну, політичну діяльність тощо.</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widowControl w:val="0"/>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1">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2">
            <w:pPr>
              <w:widowControl w:val="0"/>
              <w:rPr/>
            </w:pPr>
            <w:r w:rsidDel="00000000" w:rsidR="00000000" w:rsidRPr="00000000">
              <w:rPr>
                <w:rtl w:val="0"/>
              </w:rPr>
              <w:t xml:space="preserve">party</w:t>
            </w:r>
            <w:r w:rsidDel="00000000" w:rsidR="00000000" w:rsidRPr="00000000">
              <w:rPr>
                <w:rtl w:val="0"/>
              </w:rPr>
              <w:t xml:space="preserve">_name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3">
            <w:pPr>
              <w:widowControl w:val="0"/>
              <w:rPr/>
            </w:pPr>
            <w:r w:rsidDel="00000000" w:rsidR="00000000" w:rsidRPr="00000000">
              <w:rPr>
                <w:rtl w:val="0"/>
              </w:rPr>
              <w:t xml:space="preserve">Назва партії</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widowControl w:val="0"/>
              <w:rPr/>
            </w:pPr>
            <w:r w:rsidDel="00000000" w:rsidR="00000000" w:rsidRPr="00000000">
              <w:rPr>
                <w:rtl w:val="0"/>
              </w:rPr>
              <w:t xml:space="preserve">Назва місцевої організації партії, яка висувала депутата на виборах. Наприклад: Політична партія «Європейське місто».</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widowControl w:val="0"/>
              <w:rPr/>
            </w:pPr>
            <w:r w:rsidDel="00000000" w:rsidR="00000000" w:rsidRPr="00000000">
              <w:rPr>
                <w:rtl w:val="0"/>
              </w:rPr>
              <w:t xml:space="preserve">Текст (string)</w:t>
              <w:tab/>
            </w:r>
          </w:p>
          <w:p w:rsidR="00000000" w:rsidDel="00000000" w:rsidP="00000000" w:rsidRDefault="00000000" w:rsidRPr="00000000" w14:paraId="00000056">
            <w:pPr>
              <w:widowControl w:val="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7">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widowControl w:val="0"/>
              <w:rPr/>
            </w:pPr>
            <w:r w:rsidDel="00000000" w:rsidR="00000000" w:rsidRPr="00000000">
              <w:rPr>
                <w:rtl w:val="0"/>
              </w:rPr>
              <w:t xml:space="preserve">party_identifier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9">
            <w:pPr>
              <w:widowControl w:val="0"/>
              <w:rPr/>
            </w:pPr>
            <w:r w:rsidDel="00000000" w:rsidR="00000000" w:rsidRPr="00000000">
              <w:rPr>
                <w:rtl w:val="0"/>
              </w:rPr>
              <w:t xml:space="preserve">Ідентифікатор партії</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widowControl w:val="0"/>
              <w:rPr/>
            </w:pPr>
            <w:r w:rsidDel="00000000" w:rsidR="00000000" w:rsidRPr="00000000">
              <w:rPr>
                <w:rtl w:val="0"/>
              </w:rPr>
              <w:t xml:space="preserve">Код ЄДРПОУ місцевої організації партії, яка висувала депутата на виборах. Наприклад: 01234567. Якщо місцева організація партії не має статусу юридичної особи, вказати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B">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C">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D">
            <w:pPr>
              <w:widowControl w:val="0"/>
              <w:rPr/>
            </w:pPr>
            <w:r w:rsidDel="00000000" w:rsidR="00000000" w:rsidRPr="00000000">
              <w:rPr>
                <w:rtl w:val="0"/>
              </w:rPr>
              <w:t xml:space="preserve">email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E">
            <w:pPr>
              <w:widowControl w:val="0"/>
              <w:rPr/>
            </w:pPr>
            <w:r w:rsidDel="00000000" w:rsidR="00000000" w:rsidRPr="00000000">
              <w:rPr>
                <w:rtl w:val="0"/>
              </w:rPr>
              <w:t xml:space="preserve">Електронна пошта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F">
            <w:pPr>
              <w:widowControl w:val="0"/>
              <w:rPr/>
            </w:pPr>
            <w:r w:rsidDel="00000000" w:rsidR="00000000" w:rsidRPr="00000000">
              <w:rPr>
                <w:rtl w:val="0"/>
              </w:rPr>
              <w:t xml:space="preserve">Адреса електронної пошти. Наприклад, contact@example.gov.ua. У випадку кількох адрес розділити значення комами.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0">
            <w:pPr>
              <w:widowControl w:val="0"/>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1">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2">
            <w:pPr>
              <w:widowControl w:val="0"/>
              <w:rPr/>
            </w:pPr>
            <w:r w:rsidDel="00000000" w:rsidR="00000000" w:rsidRPr="00000000">
              <w:rPr>
                <w:rtl w:val="0"/>
              </w:rPr>
              <w:t xml:space="preserve">telephone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rPr/>
            </w:pPr>
            <w:r w:rsidDel="00000000" w:rsidR="00000000" w:rsidRPr="00000000">
              <w:rPr>
                <w:rtl w:val="0"/>
              </w:rPr>
              <w:t xml:space="preserve">Номер телефону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rPr/>
            </w:pPr>
            <w:r w:rsidDel="00000000" w:rsidR="00000000" w:rsidRPr="00000000">
              <w:rPr>
                <w:rtl w:val="0"/>
              </w:rPr>
              <w:t xml:space="preserve">Номер телефону має починатися з +380, включати код населеного пункту або оператора та телефонний номер (12 цифр, без пробілів і дужок). Наприклад: +380123456789. У електронних таблицях допускається написання коду країни 380 або використання комбінації ‘+ (апостроф та плюс). У випадку кількох номерів телефону розділити значення комою.</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7">
            <w:pPr>
              <w:widowControl w:val="0"/>
              <w:rPr/>
            </w:pPr>
            <w:r w:rsidDel="00000000" w:rsidR="00000000" w:rsidRPr="00000000">
              <w:rPr>
                <w:rtl w:val="0"/>
              </w:rPr>
              <w:t xml:space="preserve">homepage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widowControl w:val="0"/>
              <w:rPr/>
            </w:pPr>
            <w:r w:rsidDel="00000000" w:rsidR="00000000" w:rsidRPr="00000000">
              <w:rPr>
                <w:rtl w:val="0"/>
              </w:rPr>
              <w:t xml:space="preserve">Веб-сторінка</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rPr/>
            </w:pPr>
            <w:r w:rsidDel="00000000" w:rsidR="00000000" w:rsidRPr="00000000">
              <w:rPr>
                <w:rtl w:val="0"/>
              </w:rPr>
              <w:t xml:space="preserve">Посилання (URL) на сторінку депутата на сайті місцевої ради. Посилання має починатися з http:// або https://. Наприклад: https://www.example.gov.ua/head/. Якщо сторінка відсутня, вказати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rPr/>
            </w:pPr>
            <w:r w:rsidDel="00000000" w:rsidR="00000000" w:rsidRPr="00000000">
              <w:rPr>
                <w:rtl w:val="0"/>
              </w:rPr>
              <w:t xml:space="preserve">Посилання (anyURI)</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B">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C">
            <w:pPr>
              <w:widowControl w:val="0"/>
              <w:rPr/>
            </w:pPr>
            <w:r w:rsidDel="00000000" w:rsidR="00000000" w:rsidRPr="00000000">
              <w:rPr>
                <w:rtl w:val="0"/>
              </w:rPr>
              <w:t xml:space="preserve">account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widowControl w:val="0"/>
              <w:rPr/>
            </w:pPr>
            <w:r w:rsidDel="00000000" w:rsidR="00000000" w:rsidRPr="00000000">
              <w:rPr>
                <w:rtl w:val="0"/>
              </w:rPr>
              <w:t xml:space="preserve">Соціальні медіа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rPr/>
            </w:pPr>
            <w:r w:rsidDel="00000000" w:rsidR="00000000" w:rsidRPr="00000000">
              <w:rPr>
                <w:rtl w:val="0"/>
              </w:rPr>
              <w:t xml:space="preserve">Посилання (URL) на сторінки в соціальних медіа (Facebook, Twitter, Instagram, YouTube тощо), що надані депутатом. Посилання повинні починатися з http:// або https://. Наприклад: </w:t>
            </w:r>
            <w:r w:rsidDel="00000000" w:rsidR="00000000" w:rsidRPr="00000000">
              <w:rPr>
                <w:rtl w:val="0"/>
              </w:rPr>
              <w:t xml:space="preserve">https://www.example.com/. У випадку кількох посилань розділити значення комами.</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rPr/>
            </w:pPr>
            <w:r w:rsidDel="00000000" w:rsidR="00000000" w:rsidRPr="00000000">
              <w:rPr>
                <w:rtl w:val="0"/>
              </w:rPr>
              <w:t xml:space="preserve">Посилання (anyURI)</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0">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1">
            <w:pPr>
              <w:widowControl w:val="0"/>
              <w:rPr/>
            </w:pPr>
            <w:r w:rsidDel="00000000" w:rsidR="00000000" w:rsidRPr="00000000">
              <w:rPr>
                <w:rtl w:val="0"/>
              </w:rPr>
              <w:t xml:space="preserve">faction_name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2">
            <w:pPr>
              <w:widowControl w:val="0"/>
              <w:rPr/>
            </w:pPr>
            <w:r w:rsidDel="00000000" w:rsidR="00000000" w:rsidRPr="00000000">
              <w:rPr>
                <w:rtl w:val="0"/>
              </w:rPr>
              <w:t xml:space="preserve">Назва фракції</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rPr/>
            </w:pPr>
            <w:r w:rsidDel="00000000" w:rsidR="00000000" w:rsidRPr="00000000">
              <w:rPr>
                <w:rtl w:val="0"/>
              </w:rPr>
              <w:t xml:space="preserve">Назва фракції, до якої належить депутат. Наприклад: Фракція політичної партії «Європейське місто». Якщо депутат не належить до жодної з фракцій, вказати «Позафракційний».</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rPr/>
            </w:pPr>
            <w:r w:rsidDel="00000000" w:rsidR="00000000" w:rsidRPr="00000000">
              <w:rPr>
                <w:rtl w:val="0"/>
              </w:rPr>
              <w:t xml:space="preserve">Текст (string)</w:t>
              <w:tab/>
            </w:r>
          </w:p>
          <w:p w:rsidR="00000000" w:rsidDel="00000000" w:rsidP="00000000" w:rsidRDefault="00000000" w:rsidRPr="00000000" w14:paraId="00000075">
            <w:pPr>
              <w:widowControl w:val="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6">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7">
            <w:pPr>
              <w:widowControl w:val="0"/>
              <w:rPr/>
            </w:pPr>
            <w:r w:rsidDel="00000000" w:rsidR="00000000" w:rsidRPr="00000000">
              <w:rPr>
                <w:rtl w:val="0"/>
              </w:rPr>
              <w:t xml:space="preserve">faction_post</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rPr/>
            </w:pPr>
            <w:r w:rsidDel="00000000" w:rsidR="00000000" w:rsidRPr="00000000">
              <w:rPr>
                <w:rtl w:val="0"/>
              </w:rPr>
              <w:t xml:space="preserve">Посада у фракції</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rPr/>
            </w:pPr>
            <w:r w:rsidDel="00000000" w:rsidR="00000000" w:rsidRPr="00000000">
              <w:rPr>
                <w:rtl w:val="0"/>
              </w:rPr>
              <w:t xml:space="preserve">Посада депутата у фракції. Наприклад: Заступник голови фракції. Якщо посада відсутня, вказати «Член депутатської фракції». Якщо депутат не належить до жодної з фракцій, вказати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B">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C">
            <w:pPr>
              <w:widowControl w:val="0"/>
              <w:rPr/>
            </w:pPr>
            <w:r w:rsidDel="00000000" w:rsidR="00000000" w:rsidRPr="00000000">
              <w:rPr>
                <w:rtl w:val="0"/>
              </w:rPr>
              <w:t xml:space="preserve">commission_name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rPr/>
            </w:pPr>
            <w:r w:rsidDel="00000000" w:rsidR="00000000" w:rsidRPr="00000000">
              <w:rPr>
                <w:rtl w:val="0"/>
              </w:rPr>
              <w:t xml:space="preserve">Назва постійної комісії</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rPr/>
            </w:pPr>
            <w:r w:rsidDel="00000000" w:rsidR="00000000" w:rsidRPr="00000000">
              <w:rPr>
                <w:rtl w:val="0"/>
              </w:rPr>
              <w:t xml:space="preserve">Назва постійної комісії, до якої належить депутат. Наприклад: Бюджетна комісія. Якщо депутат не належить до жодної з постійних комісій, вказати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0">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1">
            <w:pPr>
              <w:widowControl w:val="0"/>
              <w:rPr/>
            </w:pPr>
            <w:r w:rsidDel="00000000" w:rsidR="00000000" w:rsidRPr="00000000">
              <w:rPr>
                <w:rtl w:val="0"/>
              </w:rPr>
              <w:t xml:space="preserve">commission_post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rPr/>
            </w:pPr>
            <w:r w:rsidDel="00000000" w:rsidR="00000000" w:rsidRPr="00000000">
              <w:rPr>
                <w:rtl w:val="0"/>
              </w:rPr>
              <w:t xml:space="preserve">Посада у постійній комісії</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rPr/>
            </w:pPr>
            <w:r w:rsidDel="00000000" w:rsidR="00000000" w:rsidRPr="00000000">
              <w:rPr>
                <w:rtl w:val="0"/>
              </w:rPr>
              <w:t xml:space="preserve">Посада депутата в постійній комісії. Наприклад: Секретар. Якщо посада відсутня, вказати «Член постійної комісії». Якщо депутат не належить до жодної з постійних комісій, вказати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4">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5">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6">
            <w:pPr>
              <w:widowControl w:val="0"/>
              <w:rPr/>
            </w:pPr>
            <w:r w:rsidDel="00000000" w:rsidR="00000000" w:rsidRPr="00000000">
              <w:rPr>
                <w:rtl w:val="0"/>
              </w:rPr>
              <w:t xml:space="preserve">area_identifier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rPr/>
            </w:pPr>
            <w:r w:rsidDel="00000000" w:rsidR="00000000" w:rsidRPr="00000000">
              <w:rPr>
                <w:rtl w:val="0"/>
              </w:rPr>
              <w:t xml:space="preserve">Виборчий округ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8">
            <w:pPr>
              <w:widowControl w:val="0"/>
              <w:rPr/>
            </w:pPr>
            <w:r w:rsidDel="00000000" w:rsidR="00000000" w:rsidRPr="00000000">
              <w:rPr>
                <w:rtl w:val="0"/>
              </w:rPr>
              <w:t xml:space="preserve">Номер виборчого округу депутата (лише число без знаку «№»). Наприклад: 19. Якщо виборчий округ відсутній, вказати null.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9">
            <w:pPr>
              <w:widowControl w:val="0"/>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A">
            <w:pPr>
              <w:widowControl w:val="0"/>
              <w:rPr/>
            </w:pPr>
            <w:r w:rsidDel="00000000" w:rsidR="00000000" w:rsidRPr="00000000">
              <w:rPr>
                <w:rtl w:val="0"/>
              </w:rPr>
              <w:t xml:space="preserve">Хибність (false)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B">
            <w:pPr>
              <w:widowControl w:val="0"/>
              <w:rPr/>
            </w:pPr>
            <w:r w:rsidDel="00000000" w:rsidR="00000000" w:rsidRPr="00000000">
              <w:rPr>
                <w:rtl w:val="0"/>
              </w:rPr>
              <w:t xml:space="preserve">address_post_code</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C">
            <w:pPr>
              <w:widowControl w:val="0"/>
              <w:rPr/>
            </w:pPr>
            <w:r w:rsidDel="00000000" w:rsidR="00000000" w:rsidRPr="00000000">
              <w:rPr>
                <w:rtl w:val="0"/>
              </w:rPr>
              <w:t xml:space="preserve">Поштовий індекс</w:t>
              <w:tab/>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D">
            <w:pPr>
              <w:widowControl w:val="0"/>
              <w:rPr/>
            </w:pPr>
            <w:r w:rsidDel="00000000" w:rsidR="00000000" w:rsidRPr="00000000">
              <w:rPr>
                <w:rtl w:val="0"/>
              </w:rPr>
              <w:t xml:space="preserve">У цій та наступних колонках вказуються атрибути адреси, за якою відбувається прийом громадян депутатом. Поштовий індекс адреси. Наприклад: 01234.</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E">
            <w:pPr>
              <w:widowControl w:val="0"/>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F">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0">
            <w:pPr>
              <w:widowControl w:val="0"/>
              <w:rPr/>
            </w:pPr>
            <w:r w:rsidDel="00000000" w:rsidR="00000000" w:rsidRPr="00000000">
              <w:rPr>
                <w:rtl w:val="0"/>
              </w:rPr>
              <w:t xml:space="preserve">address_admin_unit_l1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1">
            <w:pPr>
              <w:widowControl w:val="0"/>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2">
            <w:pPr>
              <w:widowControl w:val="0"/>
              <w:rPr/>
            </w:pPr>
            <w:r w:rsidDel="00000000" w:rsidR="00000000" w:rsidRPr="00000000">
              <w:rPr>
                <w:rtl w:val="0"/>
              </w:rPr>
              <w:t xml:space="preserve">Назва держави. У колонці має бути зазначено Україна.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3">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4">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5">
            <w:pPr>
              <w:widowControl w:val="0"/>
              <w:rPr/>
            </w:pPr>
            <w:r w:rsidDel="00000000" w:rsidR="00000000" w:rsidRPr="00000000">
              <w:rPr>
                <w:rtl w:val="0"/>
              </w:rPr>
              <w:t xml:space="preserve">address_admin_unit_l2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6">
            <w:pPr>
              <w:widowControl w:val="0"/>
              <w:rPr/>
            </w:pPr>
            <w:r w:rsidDel="00000000" w:rsidR="00000000" w:rsidRPr="00000000">
              <w:rPr>
                <w:rtl w:val="0"/>
              </w:rPr>
              <w:t xml:space="preserve">Регіон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7">
            <w:pPr>
              <w:widowControl w:val="0"/>
              <w:rPr/>
            </w:pPr>
            <w:r w:rsidDel="00000000" w:rsidR="00000000" w:rsidRPr="00000000">
              <w:rPr>
                <w:rtl w:val="0"/>
              </w:rPr>
              <w:t xml:space="preserve">Назва регіону. Наприклад: Полтавська область.</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8">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9">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A">
            <w:pPr>
              <w:widowControl w:val="0"/>
              <w:rPr/>
            </w:pPr>
            <w:r w:rsidDel="00000000" w:rsidR="00000000" w:rsidRPr="00000000">
              <w:rPr>
                <w:rtl w:val="0"/>
              </w:rPr>
              <w:t xml:space="preserve">address_admin_unit_l3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B">
            <w:pPr>
              <w:widowControl w:val="0"/>
              <w:rPr/>
            </w:pPr>
            <w:r w:rsidDel="00000000" w:rsidR="00000000" w:rsidRPr="00000000">
              <w:rPr>
                <w:rtl w:val="0"/>
              </w:rPr>
              <w:t xml:space="preserve">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C">
            <w:pPr>
              <w:widowControl w:val="0"/>
              <w:rPr/>
            </w:pPr>
            <w:r w:rsidDel="00000000" w:rsidR="00000000" w:rsidRPr="00000000">
              <w:rPr>
                <w:rtl w:val="0"/>
              </w:rPr>
              <w:t xml:space="preserve">Назва району. Наприклад: Броварський район.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D">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E">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F">
            <w:pPr>
              <w:widowControl w:val="0"/>
              <w:rPr/>
            </w:pPr>
            <w:r w:rsidDel="00000000" w:rsidR="00000000" w:rsidRPr="00000000">
              <w:rPr>
                <w:rtl w:val="0"/>
              </w:rPr>
              <w:t xml:space="preserve">address_post_name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0">
            <w:pPr>
              <w:widowControl w:val="0"/>
              <w:rPr/>
            </w:pPr>
            <w:r w:rsidDel="00000000" w:rsidR="00000000" w:rsidRPr="00000000">
              <w:rPr>
                <w:rtl w:val="0"/>
              </w:rPr>
              <w:t xml:space="preserve">Населений пункт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1">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2">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3">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4">
            <w:pPr>
              <w:widowControl w:val="0"/>
              <w:rPr/>
            </w:pPr>
            <w:r w:rsidDel="00000000" w:rsidR="00000000" w:rsidRPr="00000000">
              <w:rPr>
                <w:rtl w:val="0"/>
              </w:rPr>
              <w:t xml:space="preserve">address_thoroughfare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5">
            <w:pPr>
              <w:widowControl w:val="0"/>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6">
            <w:pPr>
              <w:widowControl w:val="0"/>
              <w:rPr/>
            </w:pPr>
            <w:r w:rsidDel="00000000" w:rsidR="00000000" w:rsidRPr="00000000">
              <w:rPr>
                <w:rtl w:val="0"/>
              </w:rPr>
              <w:t xml:space="preserve">Тип та назва площі, майдану, шосе, проспекту, бульвару, алеї, провулку, узвозу тощо, де розміщений об’єкт. Наприклад: вул. Харківська.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7">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8">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9">
            <w:pPr>
              <w:widowControl w:val="0"/>
              <w:rPr/>
            </w:pPr>
            <w:r w:rsidDel="00000000" w:rsidR="00000000" w:rsidRPr="00000000">
              <w:rPr>
                <w:rtl w:val="0"/>
              </w:rPr>
              <w:t xml:space="preserve">address</w:t>
            </w:r>
            <w:r w:rsidDel="00000000" w:rsidR="00000000" w:rsidRPr="00000000">
              <w:rPr>
                <w:rtl w:val="0"/>
              </w:rPr>
              <w:t xml:space="preserve">_l</w:t>
            </w:r>
            <w:r w:rsidDel="00000000" w:rsidR="00000000" w:rsidRPr="00000000">
              <w:rPr>
                <w:rtl w:val="0"/>
              </w:rPr>
              <w:t xml:space="preserve">ocator_</w:t>
            </w:r>
            <w:r w:rsidDel="00000000" w:rsidR="00000000" w:rsidRPr="00000000">
              <w:rPr>
                <w:rtl w:val="0"/>
              </w:rPr>
              <w:t xml:space="preserve">de</w:t>
            </w:r>
            <w:r w:rsidDel="00000000" w:rsidR="00000000" w:rsidRPr="00000000">
              <w:rPr>
                <w:rtl w:val="0"/>
              </w:rPr>
              <w:t xml:space="preserv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A">
            <w:pPr>
              <w:widowControl w:val="0"/>
              <w:rPr/>
            </w:pPr>
            <w:r w:rsidDel="00000000" w:rsidR="00000000" w:rsidRPr="00000000">
              <w:rPr>
                <w:rtl w:val="0"/>
              </w:rPr>
              <w:t xml:space="preserve">Номер об’єкта </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B">
            <w:pPr>
              <w:widowControl w:val="0"/>
              <w:rPr/>
            </w:pPr>
            <w:r w:rsidDel="00000000" w:rsidR="00000000" w:rsidRPr="00000000">
              <w:rPr>
                <w:rtl w:val="0"/>
              </w:rPr>
              <w:t xml:space="preserve">Номер будинку (об’єкта) може включати числа та букви. Наприклад: 15-А.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C">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D">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E">
            <w:pPr>
              <w:widowControl w:val="0"/>
              <w:rPr/>
            </w:pPr>
            <w:r w:rsidDel="00000000" w:rsidR="00000000" w:rsidRPr="00000000">
              <w:rPr>
                <w:rtl w:val="0"/>
              </w:rPr>
              <w:t xml:space="preserve">address</w:t>
            </w:r>
            <w:r w:rsidDel="00000000" w:rsidR="00000000" w:rsidRPr="00000000">
              <w:rPr>
                <w:rtl w:val="0"/>
              </w:rPr>
              <w:t xml:space="preserve">_l</w:t>
            </w:r>
            <w:r w:rsidDel="00000000" w:rsidR="00000000" w:rsidRPr="00000000">
              <w:rPr>
                <w:rtl w:val="0"/>
              </w:rPr>
              <w:t xml:space="preserve">ocator_building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F">
            <w:pPr>
              <w:widowControl w:val="0"/>
              <w:rPr/>
            </w:pPr>
            <w:r w:rsidDel="00000000" w:rsidR="00000000" w:rsidRPr="00000000">
              <w:rPr>
                <w:rtl w:val="0"/>
              </w:rPr>
              <w:t xml:space="preserve">Номер корпусу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0">
            <w:pPr>
              <w:widowControl w:val="0"/>
              <w:rPr/>
            </w:pPr>
            <w:r w:rsidDel="00000000" w:rsidR="00000000" w:rsidRPr="00000000">
              <w:rPr>
                <w:rtl w:val="0"/>
              </w:rPr>
              <w:t xml:space="preserve">Номер корпусу зазначається числом для об’єктів, які складаються з декількох корпусів. Наприклад: 3.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1">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2">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3">
            <w:pPr>
              <w:widowControl w:val="0"/>
              <w:rPr/>
            </w:pPr>
            <w:r w:rsidDel="00000000" w:rsidR="00000000" w:rsidRPr="00000000">
              <w:rPr>
                <w:rtl w:val="0"/>
              </w:rPr>
              <w:t xml:space="preserve">address_locator_name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4">
            <w:pPr>
              <w:widowControl w:val="0"/>
              <w:rPr/>
            </w:pPr>
            <w:r w:rsidDel="00000000" w:rsidR="00000000" w:rsidRPr="00000000">
              <w:rPr>
                <w:rtl w:val="0"/>
              </w:rPr>
              <w:t xml:space="preserve">Назва будівлі або її частини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5">
            <w:pPr>
              <w:widowControl w:val="0"/>
              <w:rPr/>
            </w:pPr>
            <w:r w:rsidDel="00000000" w:rsidR="00000000" w:rsidRPr="00000000">
              <w:rPr>
                <w:rtl w:val="0"/>
              </w:rPr>
              <w:t xml:space="preserve">Назва або опис, що дозволяє чіткіше визначити розміщення. Зокрема, назва житлового комплексу, школи, лікарні, офісного або торгового центру; частина будівлі, наприклад, крило; приміщення в будівлі, наприклад, квартира, кабінет, офіс, зала; інший варіант написання номера адреси; довільний текстовий опис, що дозволяє визначити розміщення; інший ідентифікатор. Якщо назва будівлі або її частини відсутня, вказати null.</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6">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7">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8">
            <w:pPr>
              <w:widowControl w:val="0"/>
              <w:rPr/>
            </w:pPr>
            <w:r w:rsidDel="00000000" w:rsidR="00000000" w:rsidRPr="00000000">
              <w:rPr>
                <w:rtl w:val="0"/>
              </w:rPr>
              <w:t xml:space="preserve">opening_hours</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9">
            <w:pPr>
              <w:widowControl w:val="0"/>
              <w:rPr/>
            </w:pPr>
            <w:r w:rsidDel="00000000" w:rsidR="00000000" w:rsidRPr="00000000">
              <w:rPr>
                <w:rtl w:val="0"/>
              </w:rPr>
              <w:t xml:space="preserve">Графік прийому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A">
            <w:pPr>
              <w:widowControl w:val="0"/>
              <w:rPr/>
            </w:pPr>
            <w:r w:rsidDel="00000000" w:rsidR="00000000" w:rsidRPr="00000000">
              <w:rPr>
                <w:rtl w:val="0"/>
              </w:rPr>
              <w:t xml:space="preserve">Дні тижня позначаються комбінаціями літер: Пн, Вт, Ср, Чт, Пт, Сб, Нд, години — цифрами у 24-годинному форматі — ГГ:ХХ. Для графіка з понеділка до п’ятниці, з 9:00 до 17:00 запис в таблиці матиме вигляд — Пн-Пт 09:00-17:00. Коли потрібно позначити інтервал днів (з понеділка до п’ятниці), використовується дефіс, коли окремі дні (понеділок та п’ятниця) — кома. Наприклад, графік прийому в понеділок і п’ятницю з 09:00-17:00 матиме такий вигляд: Пн,Пт 09:00-17:00. Якщо графік змінюється протягом тижня, різні режими прийому необхідно записати через кому. Наприклад: Пн-Чт 08:00-17:20, Пт 08:00-16:00.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B">
            <w:pPr>
              <w:widowControl w:val="0"/>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C">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D">
            <w:pPr>
              <w:widowControl w:val="0"/>
              <w:rPr/>
            </w:pPr>
            <w:r w:rsidDel="00000000" w:rsidR="00000000" w:rsidRPr="00000000">
              <w:rPr>
                <w:rtl w:val="0"/>
              </w:rPr>
              <w:t xml:space="preserve">opening_hours_description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E">
            <w:pPr>
              <w:widowControl w:val="0"/>
              <w:rPr/>
            </w:pPr>
            <w:r w:rsidDel="00000000" w:rsidR="00000000" w:rsidRPr="00000000">
              <w:rPr>
                <w:rtl w:val="0"/>
              </w:rPr>
              <w:t xml:space="preserve">Уточнення графіка прийому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F">
            <w:pPr>
              <w:widowControl w:val="0"/>
              <w:rPr/>
            </w:pPr>
            <w:r w:rsidDel="00000000" w:rsidR="00000000" w:rsidRPr="00000000">
              <w:rPr>
                <w:rtl w:val="0"/>
              </w:rPr>
              <w:t xml:space="preserve">Уточнення щодо обідньої перерви, днів, коли графік діє та ін. Наприклад: Перерва на обід — 12:00-13:00; Прийом відбувається лише кожного першого понеділка місяця.</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0">
            <w:pPr>
              <w:widowControl w:val="0"/>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1">
            <w:pPr>
              <w:widowControl w:val="0"/>
              <w:rPr/>
            </w:pPr>
            <w:r w:rsidDel="00000000" w:rsidR="00000000" w:rsidRPr="00000000">
              <w:rPr>
                <w:rtl w:val="0"/>
              </w:rPr>
              <w:t xml:space="preserve">Хибність (false)</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bookmarkStart w:colFirst="0" w:colLast="0" w:name="_ayzcnxf60j46" w:id="4"/>
      <w:bookmarkEnd w:id="4"/>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C5">
      <w:pPr>
        <w:spacing w:after="200" w:lineRule="auto"/>
        <w:jc w:val="center"/>
        <w:rPr/>
      </w:pPr>
      <w:r w:rsidDel="00000000" w:rsidR="00000000" w:rsidRPr="00000000">
        <w:rPr>
          <w:rtl w:val="0"/>
        </w:rPr>
      </w:r>
    </w:p>
    <w:p w:rsidR="00000000" w:rsidDel="00000000" w:rsidP="00000000" w:rsidRDefault="00000000" w:rsidRPr="00000000" w14:paraId="000000C6">
      <w:pPr>
        <w:spacing w:after="200"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C7">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C8">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C9">
            <w:pPr>
              <w:rPr/>
            </w:pPr>
            <w:r w:rsidDel="00000000" w:rsidR="00000000" w:rsidRPr="00000000">
              <w:rPr>
                <w:rtl w:val="0"/>
              </w:rPr>
              <w:t xml:space="preserve">Назва набору</w:t>
            </w:r>
          </w:p>
        </w:tc>
        <w:tc>
          <w:tcPr/>
          <w:p w:rsidR="00000000" w:rsidDel="00000000" w:rsidP="00000000" w:rsidRDefault="00000000" w:rsidRPr="00000000" w14:paraId="000000CA">
            <w:pPr>
              <w:widowControl w:val="0"/>
              <w:rPr/>
            </w:pPr>
            <w:r w:rsidDel="00000000" w:rsidR="00000000" w:rsidRPr="00000000">
              <w:rPr>
                <w:rtl w:val="0"/>
              </w:rPr>
              <w:t xml:space="preserve">Дані про депутатів Тернопільської міської ради, у тому числі контактні дані та графік прийому</w:t>
            </w:r>
          </w:p>
        </w:tc>
      </w:tr>
      <w:tr>
        <w:trPr>
          <w:trHeight w:val="20" w:hRule="atLeast"/>
        </w:trPr>
        <w:tc>
          <w:tcPr/>
          <w:p w:rsidR="00000000" w:rsidDel="00000000" w:rsidP="00000000" w:rsidRDefault="00000000" w:rsidRPr="00000000" w14:paraId="000000CB">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CC">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CD">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CE">
            <w:pPr>
              <w:widowControl w:val="0"/>
              <w:rPr/>
            </w:pPr>
            <w:r w:rsidDel="00000000" w:rsidR="00000000" w:rsidRPr="00000000">
              <w:rPr>
                <w:rtl w:val="0"/>
              </w:rPr>
              <w:t xml:space="preserve">Відразу після внесення змін</w:t>
            </w:r>
          </w:p>
        </w:tc>
      </w:tr>
      <w:tr>
        <w:tc>
          <w:tcPr/>
          <w:p w:rsidR="00000000" w:rsidDel="00000000" w:rsidP="00000000" w:rsidRDefault="00000000" w:rsidRPr="00000000" w14:paraId="000000CF">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D0">
            <w:pPr>
              <w:widowControl w:val="0"/>
              <w:rPr/>
            </w:pPr>
            <w:r w:rsidDel="00000000" w:rsidR="00000000" w:rsidRPr="00000000">
              <w:rPr>
                <w:rtl w:val="0"/>
              </w:rPr>
              <w:t xml:space="preserve">Набір містить ідентифікаційні, біографічні й контактні дані депутатів Тернопільської міської ради.</w:t>
            </w:r>
            <w:r w:rsidDel="00000000" w:rsidR="00000000" w:rsidRPr="00000000">
              <w:rPr>
                <w:rtl w:val="0"/>
              </w:rPr>
            </w:r>
          </w:p>
        </w:tc>
      </w:tr>
      <w:tr>
        <w:trPr>
          <w:trHeight w:val="180" w:hRule="atLeast"/>
        </w:trPr>
        <w:tc>
          <w:tcPr/>
          <w:p w:rsidR="00000000" w:rsidDel="00000000" w:rsidP="00000000" w:rsidRDefault="00000000" w:rsidRPr="00000000" w14:paraId="000000D1">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D2">
            <w:pPr>
              <w:widowControl w:val="0"/>
              <w:rPr/>
            </w:pPr>
            <w:r w:rsidDel="00000000" w:rsidR="00000000" w:rsidRPr="00000000">
              <w:rPr>
                <w:rtl w:val="0"/>
              </w:rPr>
              <w:t xml:space="preserve">Закон України «Про місцеве самоврядування в Україні» від 21.05.1997 № 280/97-ВР, Закон України «Про статус депутатів місцевих рад» від 11.07.2002 № 93-IV, Закон України «Про місцеві вибори» від 14.07.2015 № 595-VIII, Закон України «Про доступ до публічної інформації» від 13.01.2011 № 2939-VI, Рішення Тернопільської міської ради «Про регламент Тернопільської міської ради сьомого скликання» від 24.11.2015 № 7/2/152</w:t>
            </w:r>
            <w:r w:rsidDel="00000000" w:rsidR="00000000" w:rsidRPr="00000000">
              <w:rPr>
                <w:rtl w:val="0"/>
              </w:rPr>
            </w:r>
          </w:p>
        </w:tc>
      </w:tr>
      <w:tr>
        <w:trPr>
          <w:trHeight w:val="120" w:hRule="atLeast"/>
        </w:trPr>
        <w:tc>
          <w:tcPr/>
          <w:p w:rsidR="00000000" w:rsidDel="00000000" w:rsidP="00000000" w:rsidRDefault="00000000" w:rsidRPr="00000000" w14:paraId="000000D3">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D4">
            <w:pPr>
              <w:widowControl w:val="0"/>
              <w:rPr/>
            </w:pPr>
            <w:r w:rsidDel="00000000" w:rsidR="00000000" w:rsidRPr="00000000">
              <w:rPr>
                <w:rtl w:val="0"/>
              </w:rPr>
              <w:t xml:space="preserve">самоврядування, депутат, рада, народний депутат, міська рада, місцеве самоврядування, прийом, графік прийому, контакти, адреса, телефон, веб-сайт</w:t>
            </w:r>
            <w:r w:rsidDel="00000000" w:rsidR="00000000" w:rsidRPr="00000000">
              <w:rPr>
                <w:rtl w:val="0"/>
              </w:rPr>
            </w:r>
          </w:p>
        </w:tc>
      </w:tr>
      <w:tr>
        <w:trPr>
          <w:trHeight w:val="460" w:hRule="atLeast"/>
        </w:trPr>
        <w:tc>
          <w:tcPr/>
          <w:p w:rsidR="00000000" w:rsidDel="00000000" w:rsidP="00000000" w:rsidRDefault="00000000" w:rsidRPr="00000000" w14:paraId="000000D5">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D6">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D7">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D8">
            <w:pPr>
              <w:widowControl w:val="0"/>
              <w:rPr/>
            </w:pPr>
            <w:r w:rsidDel="00000000" w:rsidR="00000000" w:rsidRPr="00000000">
              <w:rPr>
                <w:rtl w:val="0"/>
              </w:rPr>
              <w:t xml:space="preserve">o.symonenko@example.gov.ua</w:t>
            </w:r>
          </w:p>
        </w:tc>
      </w:tr>
    </w:tbl>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spacing w:after="200" w:lineRule="auto"/>
        <w:jc w:val="center"/>
        <w:rPr>
          <w:b w:val="1"/>
        </w:rPr>
      </w:pPr>
      <w:r w:rsidDel="00000000" w:rsidR="00000000" w:rsidRPr="00000000">
        <w:rPr>
          <w:b w:val="1"/>
          <w:rtl w:val="0"/>
        </w:rPr>
        <w:t xml:space="preserve">Таблиця 3 — Приклад паспорта ресурсу Deputies</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DB">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DC">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DD">
            <w:pPr>
              <w:rPr/>
            </w:pPr>
            <w:r w:rsidDel="00000000" w:rsidR="00000000" w:rsidRPr="00000000">
              <w:rPr>
                <w:rtl w:val="0"/>
              </w:rPr>
              <w:t xml:space="preserve">Назва ресурсу</w:t>
            </w:r>
          </w:p>
        </w:tc>
        <w:tc>
          <w:tcPr/>
          <w:p w:rsidR="00000000" w:rsidDel="00000000" w:rsidP="00000000" w:rsidRDefault="00000000" w:rsidRPr="00000000" w14:paraId="000000DE">
            <w:pPr>
              <w:widowControl w:val="0"/>
              <w:rPr/>
            </w:pPr>
            <w:r w:rsidDel="00000000" w:rsidR="00000000" w:rsidRPr="00000000">
              <w:rPr>
                <w:rtl w:val="0"/>
              </w:rPr>
              <w:t xml:space="preserve">Deputies.xlsx</w:t>
            </w:r>
          </w:p>
        </w:tc>
      </w:tr>
      <w:tr>
        <w:tc>
          <w:tcPr/>
          <w:p w:rsidR="00000000" w:rsidDel="00000000" w:rsidP="00000000" w:rsidRDefault="00000000" w:rsidRPr="00000000" w14:paraId="000000DF">
            <w:pPr>
              <w:rPr/>
            </w:pPr>
            <w:r w:rsidDel="00000000" w:rsidR="00000000" w:rsidRPr="00000000">
              <w:rPr>
                <w:rtl w:val="0"/>
              </w:rPr>
              <w:t xml:space="preserve">Опис</w:t>
            </w:r>
          </w:p>
        </w:tc>
        <w:tc>
          <w:tcPr/>
          <w:p w:rsidR="00000000" w:rsidDel="00000000" w:rsidP="00000000" w:rsidRDefault="00000000" w:rsidRPr="00000000" w14:paraId="000000E0">
            <w:pPr>
              <w:widowControl w:val="0"/>
              <w:rPr/>
            </w:pPr>
            <w:r w:rsidDel="00000000" w:rsidR="00000000" w:rsidRPr="00000000">
              <w:rPr>
                <w:rtl w:val="0"/>
              </w:rPr>
              <w:t xml:space="preserve">Ресурс містить ідентифікаційні (ідентифікатори, прізвище, ім’я, по батькові), біографічні (дата народження, коротка довідка, біографія), контактні дані (адреса електронної пошти, номер телефону, посилання на персональний сайт, тощо), графік і місце прийому депутатів місцевої ради.</w:t>
            </w:r>
          </w:p>
        </w:tc>
      </w:tr>
      <w:tr>
        <w:trPr>
          <w:trHeight w:val="160" w:hRule="atLeast"/>
        </w:trPr>
        <w:tc>
          <w:tcPr/>
          <w:p w:rsidR="00000000" w:rsidDel="00000000" w:rsidP="00000000" w:rsidRDefault="00000000" w:rsidRPr="00000000" w14:paraId="000000E1">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E2">
            <w:pPr>
              <w:widowControl w:val="0"/>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zakon.rada.gov.ua/laws/show/2939-17" TargetMode="External"/><Relationship Id="rId10" Type="http://schemas.openxmlformats.org/officeDocument/2006/relationships/hyperlink" Target="https://zakon.rada.gov.ua/laws/show/2747-15" TargetMode="External"/><Relationship Id="rId13" Type="http://schemas.openxmlformats.org/officeDocument/2006/relationships/hyperlink" Target="https://github.com/tapas-opendata/decreet-835-mun/raw/master/local-government/deputies/Deputies.xlsx" TargetMode="External"/><Relationship Id="rId12" Type="http://schemas.openxmlformats.org/officeDocument/2006/relationships/hyperlink" Target="https://zakon.rada.gov.ua/laws/show/93-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2939-17" TargetMode="External"/><Relationship Id="rId15" Type="http://schemas.openxmlformats.org/officeDocument/2006/relationships/hyperlink" Target="https://github.com/tapas-opendata/decreet-835-mun/raw/master/local-government/deputies/Example.xlsx" TargetMode="External"/><Relationship Id="rId14" Type="http://schemas.openxmlformats.org/officeDocument/2006/relationships/hyperlink" Target="https://github.com/tapas-opendata/decreet-835-mun/raw/master/local-government/deputies/Example.xlsx" TargetMode="External"/><Relationship Id="rId17" Type="http://schemas.openxmlformats.org/officeDocument/2006/relationships/hyperlink" Target="https://raw.githubusercontent.com/tapas-opendata/decreet-835-mun/master/local-government/deputies/Structure.csv" TargetMode="External"/><Relationship Id="rId16" Type="http://schemas.openxmlformats.org/officeDocument/2006/relationships/hyperlink" Target="https://github.com/tapas-opendata/decreet-835-mun/raw/master/local-government/deputies/Structure.xlsx" TargetMode="External"/><Relationship Id="rId5" Type="http://schemas.openxmlformats.org/officeDocument/2006/relationships/styles" Target="styles.xml"/><Relationship Id="rId19" Type="http://schemas.openxmlformats.org/officeDocument/2006/relationships/hyperlink" Target="https://docs.ckan.org/en/latest/maintaining/datastore.html" TargetMode="External"/><Relationship Id="rId6" Type="http://schemas.openxmlformats.org/officeDocument/2006/relationships/hyperlink" Target="https://zakon.rada.gov.ua/laws/show/280/97-%D0%B2%D1%80" TargetMode="External"/><Relationship Id="rId18" Type="http://schemas.openxmlformats.org/officeDocument/2006/relationships/hyperlink" Target="https://raw.githubusercontent.com/tapas-opendata/decreet-835-mun/master/local-government/deputies/Structure.json" TargetMode="External"/><Relationship Id="rId7" Type="http://schemas.openxmlformats.org/officeDocument/2006/relationships/hyperlink" Target="https://zakon.rada.gov.ua/laws/show/93-15" TargetMode="External"/><Relationship Id="rId8" Type="http://schemas.openxmlformats.org/officeDocument/2006/relationships/hyperlink" Target="https://zakon.rada.gov.ua/laws/show/59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